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6748" w14:textId="41BDA489" w:rsidR="0059221E" w:rsidRPr="005336EB" w:rsidRDefault="0031472B" w:rsidP="005336EB">
      <w:pPr>
        <w:snapToGrid w:val="0"/>
        <w:spacing w:beforeLines="50" w:before="120" w:afterLines="50" w:after="120" w:line="240" w:lineRule="atLeast"/>
        <w:jc w:val="center"/>
        <w:rPr>
          <w:rFonts w:eastAsia="DFKai-SB"/>
          <w:b/>
          <w:bCs/>
          <w:sz w:val="32"/>
          <w:szCs w:val="32"/>
          <w:lang w:bidi="en-US"/>
        </w:rPr>
      </w:pPr>
      <w:proofErr w:type="spellStart"/>
      <w:r w:rsidRPr="0031472B">
        <w:rPr>
          <w:rFonts w:eastAsia="DFKai-SB"/>
          <w:b/>
          <w:bCs/>
          <w:sz w:val="32"/>
          <w:szCs w:val="32"/>
        </w:rPr>
        <w:t>Datacube</w:t>
      </w:r>
      <w:proofErr w:type="spellEnd"/>
      <w:r w:rsidRPr="0031472B">
        <w:rPr>
          <w:rFonts w:eastAsia="DFKai-SB"/>
          <w:b/>
          <w:bCs/>
          <w:sz w:val="32"/>
          <w:szCs w:val="32"/>
        </w:rPr>
        <w:t xml:space="preserve"> Preprocessing: Multitemporal Cross-Sensor Image Normalization</w:t>
      </w:r>
      <w:r w:rsidR="005336EB" w:rsidRPr="004677FC">
        <w:rPr>
          <w:rFonts w:eastAsia="DFKai-SB"/>
          <w:b/>
          <w:bCs/>
          <w:sz w:val="32"/>
          <w:szCs w:val="32"/>
          <w:lang w:bidi="en-US"/>
        </w:rPr>
        <w:t xml:space="preserve"> </w:t>
      </w:r>
    </w:p>
    <w:p w14:paraId="6EFB0E65" w14:textId="5A88482C" w:rsidR="0059221E" w:rsidRPr="00515CC0" w:rsidRDefault="005336EB" w:rsidP="0059221E">
      <w:pPr>
        <w:spacing w:line="240" w:lineRule="atLeast"/>
        <w:jc w:val="center"/>
        <w:rPr>
          <w:color w:val="000000"/>
        </w:rPr>
      </w:pPr>
      <w:r>
        <w:rPr>
          <w:rFonts w:eastAsia="PMingLiU"/>
          <w:color w:val="000000"/>
          <w:lang w:eastAsia="zh-TW"/>
        </w:rPr>
        <w:t>Gabriel Yedaya Immanuel Ryadi</w:t>
      </w:r>
      <w:r w:rsidR="0059221E" w:rsidRPr="00515CC0">
        <w:rPr>
          <w:rFonts w:eastAsia="PMingLiU" w:hint="eastAsia"/>
          <w:color w:val="000000"/>
          <w:vertAlign w:val="superscript"/>
          <w:lang w:eastAsia="zh-TW"/>
        </w:rPr>
        <w:t>1</w:t>
      </w:r>
      <w:r w:rsidR="0059221E" w:rsidRPr="00515CC0">
        <w:rPr>
          <w:rFonts w:eastAsia="PMingLiU" w:hint="eastAsia"/>
          <w:color w:val="000000"/>
          <w:lang w:eastAsia="zh-TW"/>
        </w:rPr>
        <w:t xml:space="preserve"> and </w:t>
      </w:r>
      <w:r w:rsidRPr="004677FC">
        <w:rPr>
          <w:rFonts w:eastAsia="MS Gothic"/>
          <w:bCs/>
          <w:lang w:bidi="en-US"/>
        </w:rPr>
        <w:t>Chao-Hung Lin</w:t>
      </w:r>
      <w:r w:rsidRPr="00515CC0">
        <w:rPr>
          <w:rFonts w:eastAsia="PMingLiU" w:hint="eastAsia"/>
          <w:color w:val="000000"/>
          <w:lang w:eastAsia="zh-TW"/>
        </w:rPr>
        <w:t xml:space="preserve"> </w:t>
      </w:r>
      <w:r w:rsidR="0059221E" w:rsidRPr="00515CC0">
        <w:rPr>
          <w:rFonts w:eastAsia="PMingLiU" w:hint="eastAsia"/>
          <w:color w:val="000000"/>
          <w:lang w:eastAsia="zh-TW"/>
        </w:rPr>
        <w:t>*</w:t>
      </w:r>
      <w:r>
        <w:rPr>
          <w:rFonts w:eastAsia="PMingLiU"/>
          <w:color w:val="000000"/>
          <w:vertAlign w:val="superscript"/>
          <w:lang w:eastAsia="zh-TW"/>
        </w:rPr>
        <w:t>1</w:t>
      </w:r>
      <w:r w:rsidR="0059221E" w:rsidRPr="00515CC0">
        <w:rPr>
          <w:color w:val="000000"/>
        </w:rPr>
        <w:t xml:space="preserve"> </w:t>
      </w:r>
    </w:p>
    <w:p w14:paraId="55FB15D9" w14:textId="77EB2550" w:rsidR="005336EB" w:rsidRDefault="0059221E" w:rsidP="005336EB">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Pr="00515CC0">
        <w:rPr>
          <w:rFonts w:eastAsia="PMingLiU" w:hint="eastAsia"/>
          <w:color w:val="000000"/>
          <w:lang w:eastAsia="zh-TW"/>
        </w:rPr>
        <w:t>Graduate Student</w:t>
      </w:r>
      <w:r w:rsidR="005336EB">
        <w:rPr>
          <w:rFonts w:eastAsia="PMingLiU"/>
          <w:color w:val="000000"/>
          <w:lang w:eastAsia="zh-TW"/>
        </w:rPr>
        <w:t>;</w:t>
      </w:r>
      <w:r w:rsidRPr="00515CC0">
        <w:rPr>
          <w:rFonts w:eastAsia="PMingLiU" w:hint="eastAsia"/>
          <w:color w:val="000000"/>
          <w:lang w:eastAsia="zh-TW"/>
        </w:rPr>
        <w:t xml:space="preserve"> </w:t>
      </w:r>
      <w:r w:rsidR="005336EB">
        <w:rPr>
          <w:rFonts w:eastAsia="PMingLiU"/>
          <w:color w:val="000000"/>
          <w:lang w:eastAsia="zh-TW"/>
        </w:rPr>
        <w:t xml:space="preserve">*Professor, </w:t>
      </w:r>
    </w:p>
    <w:p w14:paraId="2AD3E225" w14:textId="1D9771F2" w:rsidR="005336EB" w:rsidRDefault="005336EB" w:rsidP="005336EB">
      <w:pPr>
        <w:spacing w:line="240" w:lineRule="atLeast"/>
        <w:jc w:val="center"/>
        <w:rPr>
          <w:rFonts w:eastAsia="PMingLiU"/>
          <w:color w:val="000000"/>
          <w:lang w:eastAsia="zh-TW"/>
        </w:rPr>
      </w:pPr>
      <w:r w:rsidRPr="005336EB">
        <w:rPr>
          <w:rFonts w:eastAsia="PMingLiU"/>
          <w:color w:val="000000"/>
          <w:lang w:eastAsia="zh-TW"/>
        </w:rPr>
        <w:t>Department of Geomatics, National Cheng Kung University, Tainan City 70101, Taiwan</w:t>
      </w:r>
      <w:r w:rsidRPr="00515CC0">
        <w:rPr>
          <w:rFonts w:eastAsia="PMingLiU" w:hint="eastAsia"/>
          <w:color w:val="000000"/>
          <w:lang w:eastAsia="zh-TW"/>
        </w:rPr>
        <w:t xml:space="preserve"> </w:t>
      </w:r>
    </w:p>
    <w:p w14:paraId="5A9BFCB3" w14:textId="54C6B50D" w:rsidR="0059221E" w:rsidRPr="00515CC0" w:rsidRDefault="0059221E" w:rsidP="005336EB">
      <w:pPr>
        <w:spacing w:line="240" w:lineRule="atLeast"/>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w:t>
      </w:r>
      <w:hyperlink r:id="rId7" w:history="1">
        <w:r w:rsidR="005336EB" w:rsidRPr="00327587">
          <w:rPr>
            <w:rStyle w:val="Hyperlink"/>
            <w:rFonts w:eastAsia="PMingLiU"/>
            <w:lang w:eastAsia="zh-TW"/>
          </w:rPr>
          <w:t>p68117018@gs.ncku.edu.tw</w:t>
        </w:r>
      </w:hyperlink>
      <w:r w:rsidR="005336EB">
        <w:rPr>
          <w:rFonts w:eastAsia="PMingLiU"/>
          <w:color w:val="000000"/>
          <w:lang w:eastAsia="zh-TW"/>
        </w:rPr>
        <w:t>,</w:t>
      </w:r>
      <w:r w:rsidR="00A542FD">
        <w:rPr>
          <w:rFonts w:eastAsia="PMingLiU"/>
          <w:color w:val="000000"/>
          <w:lang w:eastAsia="zh-TW"/>
        </w:rPr>
        <w:t xml:space="preserve"> *</w:t>
      </w:r>
      <w:hyperlink r:id="rId8" w:history="1">
        <w:r w:rsidR="00A542FD" w:rsidRPr="00327587">
          <w:rPr>
            <w:rStyle w:val="Hyperlink"/>
            <w:rFonts w:eastAsia="PMingLiU"/>
            <w:lang w:eastAsia="zh-TW"/>
          </w:rPr>
          <w:t>linhung@mail.ncku.edu.tw</w:t>
        </w:r>
      </w:hyperlink>
      <w:r w:rsidR="005336EB">
        <w:rPr>
          <w:rFonts w:eastAsia="PMingLiU"/>
          <w:color w:val="000000"/>
          <w:lang w:eastAsia="zh-TW"/>
        </w:rPr>
        <w:t xml:space="preserve"> </w:t>
      </w:r>
    </w:p>
    <w:p w14:paraId="597FACB8" w14:textId="77777777" w:rsidR="0059221E" w:rsidRDefault="0059221E" w:rsidP="0059221E">
      <w:pPr>
        <w:pStyle w:val="Abstracttitle"/>
        <w:rPr>
          <w:b w:val="0"/>
          <w:caps w:val="0"/>
        </w:rPr>
      </w:pPr>
    </w:p>
    <w:p w14:paraId="1212054F" w14:textId="77777777" w:rsidR="0059221E" w:rsidRDefault="0059221E" w:rsidP="0071581F">
      <w:pPr>
        <w:pStyle w:val="Abstracttext"/>
      </w:pPr>
    </w:p>
    <w:p w14:paraId="586261D8" w14:textId="74197B15" w:rsidR="0059221E" w:rsidRPr="006D4FB1" w:rsidRDefault="0059221E" w:rsidP="0071581F">
      <w:pPr>
        <w:pStyle w:val="Abstracttext"/>
      </w:pPr>
      <w:r>
        <w:rPr>
          <w:b/>
          <w:bCs/>
        </w:rPr>
        <w:t xml:space="preserve">KEY WORDS: </w:t>
      </w:r>
      <w:r w:rsidR="005336EB">
        <w:rPr>
          <w:lang w:val="en-US"/>
        </w:rPr>
        <w:t>M</w:t>
      </w:r>
      <w:r w:rsidR="005336EB" w:rsidRPr="005336EB">
        <w:rPr>
          <w:lang w:val="en-US"/>
        </w:rPr>
        <w:t xml:space="preserve">ultitemporal cross-sensor image; </w:t>
      </w:r>
      <w:r w:rsidR="005336EB">
        <w:rPr>
          <w:lang w:val="en-US"/>
        </w:rPr>
        <w:t>V</w:t>
      </w:r>
      <w:r w:rsidR="005336EB" w:rsidRPr="005336EB">
        <w:rPr>
          <w:lang w:val="en-US"/>
        </w:rPr>
        <w:t xml:space="preserve">isual consistency; </w:t>
      </w:r>
      <w:r w:rsidR="005336EB">
        <w:rPr>
          <w:lang w:val="en-US"/>
        </w:rPr>
        <w:t>I</w:t>
      </w:r>
      <w:r w:rsidR="005336EB" w:rsidRPr="005336EB">
        <w:rPr>
          <w:lang w:val="en-US"/>
        </w:rPr>
        <w:t>mage normalization; IR-MAD; Relaxation</w:t>
      </w:r>
    </w:p>
    <w:p w14:paraId="51507382" w14:textId="77777777" w:rsidR="0059221E" w:rsidRDefault="0059221E" w:rsidP="0071581F">
      <w:pPr>
        <w:pStyle w:val="Abstracttext"/>
      </w:pPr>
    </w:p>
    <w:p w14:paraId="0AA6B51C" w14:textId="77777777" w:rsidR="002977F6" w:rsidRDefault="0059221E" w:rsidP="0071581F">
      <w:pPr>
        <w:pStyle w:val="Abstracttext"/>
      </w:pPr>
      <w:r w:rsidRPr="006D4FB1">
        <w:rPr>
          <w:rFonts w:hint="eastAsia"/>
        </w:rPr>
        <w:t>ABSTRACT</w:t>
      </w:r>
      <w:r>
        <w:t xml:space="preserve">: </w:t>
      </w:r>
    </w:p>
    <w:p w14:paraId="1B6203B0" w14:textId="0D54EE2C" w:rsidR="008D2722" w:rsidRDefault="0094185F">
      <w:r w:rsidRPr="0094185F">
        <w:rPr>
          <w:lang w:val="en-US"/>
        </w:rPr>
        <w:t>Multitemporal cross-sensor imagery provides fundamental data for Earth's surface monitoring over time. However, analyzing these images is a challenging task. Visual inconsistencies are often found in these images due to atmospheric and surface conditions variations. Hence image normalization in image pre-processing is considered to minimize the errors due to inconsistencies.</w:t>
      </w:r>
      <w:r>
        <w:rPr>
          <w:lang w:val="en-US"/>
        </w:rPr>
        <w:t xml:space="preserve"> There are s</w:t>
      </w:r>
      <w:r w:rsidR="00F22481" w:rsidRPr="00F22481">
        <w:rPr>
          <w:lang w:val="en-US"/>
        </w:rPr>
        <w:t xml:space="preserve">everal normalization </w:t>
      </w:r>
      <w:r w:rsidRPr="00F22481">
        <w:rPr>
          <w:lang w:val="en-US"/>
        </w:rPr>
        <w:t>methods that</w:t>
      </w:r>
      <w:r w:rsidR="00F22481" w:rsidRPr="00F22481">
        <w:rPr>
          <w:lang w:val="en-US"/>
        </w:rPr>
        <w:t xml:space="preserve"> have been developed, such as histogram matching and linear regression by iteratively reweighted multivariate alteration detection (IR-MAD). </w:t>
      </w:r>
      <w:r>
        <w:rPr>
          <w:lang w:val="en-US"/>
        </w:rPr>
        <w:t xml:space="preserve"> </w:t>
      </w:r>
      <w:r w:rsidR="00F22481" w:rsidRPr="00F22481">
        <w:rPr>
          <w:lang w:val="en-US"/>
        </w:rPr>
        <w:t xml:space="preserve">Despite that, these methods have limitations in preserving important features and require a reference image that may not be available or adequately represent the target images. </w:t>
      </w:r>
      <w:r w:rsidR="00C5609A">
        <w:rPr>
          <w:lang w:val="en-US"/>
        </w:rPr>
        <w:t>T</w:t>
      </w:r>
      <w:r w:rsidR="00C5609A" w:rsidRPr="00F22481">
        <w:rPr>
          <w:lang w:val="en-US"/>
        </w:rPr>
        <w:t xml:space="preserve">o address those limitations </w:t>
      </w:r>
      <w:r w:rsidR="00C5609A">
        <w:rPr>
          <w:lang w:val="en-US"/>
        </w:rPr>
        <w:t>t</w:t>
      </w:r>
      <w:r w:rsidR="00F22481" w:rsidRPr="00F22481">
        <w:rPr>
          <w:lang w:val="en-US"/>
        </w:rPr>
        <w:t>his study was conducted, a relaxation-based algorithm is proposed for Multitemporal cross-sensor satellite image normalization. This algorithm iteratively adjusts the radiometric values of images using a relaxation process. The effectiveness of this method was evaluated on multitemporal cross-sensor image datasets and showed significant improvements in radiometric consistency compared to other methods. The proposed relaxation algorithm outperformed IR-MAD and the original images in reducing radiometric inconsistencies, maintaining essential features, and improving the accuracy (MAE = 3.8; RMSE = 4.6) and consistency of surface reflectance values (R</w:t>
      </w:r>
      <w:r w:rsidR="00F22481" w:rsidRPr="0040359B">
        <w:rPr>
          <w:vertAlign w:val="superscript"/>
          <w:lang w:val="en-US"/>
        </w:rPr>
        <w:t>2</w:t>
      </w:r>
      <w:r w:rsidR="00F22481" w:rsidRPr="00F22481">
        <w:rPr>
          <w:lang w:val="en-US"/>
        </w:rPr>
        <w:t xml:space="preserve"> = 94.01%).</w:t>
      </w:r>
    </w:p>
    <w:p w14:paraId="41E8D01F" w14:textId="3ABD6FAA" w:rsidR="009E4CBD" w:rsidRDefault="009E4CBD" w:rsidP="009E4CBD"/>
    <w:p w14:paraId="2C3B8549" w14:textId="77777777" w:rsidR="009E4CBD" w:rsidRDefault="009E4CBD" w:rsidP="009E4CBD">
      <w:pPr>
        <w:widowControl w:val="0"/>
        <w:numPr>
          <w:ilvl w:val="0"/>
          <w:numId w:val="4"/>
        </w:numPr>
        <w:tabs>
          <w:tab w:val="clear" w:pos="1134"/>
        </w:tabs>
        <w:suppressAutoHyphens w:val="0"/>
        <w:kinsoku w:val="0"/>
        <w:overflowPunct w:val="0"/>
        <w:snapToGrid w:val="0"/>
        <w:spacing w:beforeLines="50" w:before="120"/>
        <w:rPr>
          <w:rFonts w:eastAsia="DFKai-SB"/>
          <w:b/>
        </w:rPr>
      </w:pPr>
      <w:r>
        <w:rPr>
          <w:rFonts w:eastAsia="DFKai-SB"/>
          <w:b/>
        </w:rPr>
        <w:t>Introduction</w:t>
      </w:r>
    </w:p>
    <w:p w14:paraId="147605A2" w14:textId="577A09F7" w:rsidR="009207EE" w:rsidRDefault="00B15BA9" w:rsidP="00600E4B">
      <w:r>
        <w:t xml:space="preserve">The application of the </w:t>
      </w:r>
      <w:r w:rsidRPr="0094185F">
        <w:rPr>
          <w:lang w:val="en-US"/>
        </w:rPr>
        <w:t>Multitemporal cross-sensor imagery</w:t>
      </w:r>
      <w:r>
        <w:rPr>
          <w:lang w:val="en-US"/>
        </w:rPr>
        <w:t xml:space="preserve"> has become increasingly for the analysis of changes and trends on earth’s surfaces</w:t>
      </w:r>
      <w:r w:rsidR="00C745D1">
        <w:rPr>
          <w:lang w:val="en-US"/>
        </w:rPr>
        <w:t xml:space="preserve"> </w:t>
      </w:r>
      <w:r w:rsidR="00C745D1">
        <w:rPr>
          <w:lang w:val="en-US"/>
        </w:rPr>
        <w:fldChar w:fldCharType="begin"/>
      </w:r>
      <w:r w:rsidR="00C745D1">
        <w:rPr>
          <w:lang w:val="en-US"/>
        </w:rPr>
        <w:instrText xml:space="preserve"> ADDIN ZOTERO_ITEM CSL_CITATION {"citationID":"FQ7gWRB6","properties":{"formattedCitation":"(Gan et al., 2021)","plainCitation":"(Gan et al., 2021)","noteIndex":0},"citationItems":[{"id":402,"uris":["http://zotero.org/users/local/WcktKtYd/items/MFVXNNST"],"itemData":{"id":402,"type":"article-journal","container-title":"IEEE Journal of Selected Topics in Applied Earth Observations and Remote Sensing","ISSN":"1939-1404, 2151-1535","journalAbbreviation":"IEEE J. Sel. Top. Appl. Earth Observations Remote Sensing","language":"en","page":"4000-4013","source":"DOI.org (Crossref)","title":"Radiometric Normalization of Multitemporal Landsat and Sentinel-2 Images Using a Reference MODIS Product Through Spatiotemporal Filtering","volume":"14","author":[{"family":"Gan","given":"Wenxia"},{"family":"Albanwan","given":"Hessah"},{"family":"Qin","given":"Rongjun"}],"issued":{"date-parts":[["2021"]]}}}],"schema":"https://github.com/citation-style-language/schema/raw/master/csl-citation.json"} </w:instrText>
      </w:r>
      <w:r w:rsidR="00C745D1">
        <w:rPr>
          <w:lang w:val="en-US"/>
        </w:rPr>
        <w:fldChar w:fldCharType="separate"/>
      </w:r>
      <w:r w:rsidR="00C745D1" w:rsidRPr="00C745D1">
        <w:t>(Gan et al., 2021)</w:t>
      </w:r>
      <w:r w:rsidR="00C745D1">
        <w:rPr>
          <w:lang w:val="en-US"/>
        </w:rPr>
        <w:fldChar w:fldCharType="end"/>
      </w:r>
      <w:r>
        <w:rPr>
          <w:lang w:val="en-US"/>
        </w:rPr>
        <w:t>. One o</w:t>
      </w:r>
      <w:r w:rsidR="006E3FE4">
        <w:rPr>
          <w:lang w:val="en-US"/>
        </w:rPr>
        <w:t>f the challenges of the application of using the multitemporal cross-sensor images is the variations of atmosphere and surface conditions which affect the image consistency, specifically visual and radiometric value consistency. This inconsistency may lead to errors in analysis and misinterpretation of the results</w:t>
      </w:r>
      <w:r w:rsidR="00C745D1">
        <w:rPr>
          <w:lang w:val="en-US"/>
        </w:rPr>
        <w:t xml:space="preserve"> </w:t>
      </w:r>
      <w:r w:rsidR="00C745D1">
        <w:rPr>
          <w:lang w:val="en-US"/>
        </w:rPr>
        <w:fldChar w:fldCharType="begin"/>
      </w:r>
      <w:r w:rsidR="00C745D1">
        <w:rPr>
          <w:lang w:val="en-US"/>
        </w:rPr>
        <w:instrText xml:space="preserve"> ADDIN ZOTERO_ITEM CSL_CITATION {"citationID":"JQ9DmUNu","properties":{"formattedCitation":"(Hemingway &amp; Frazier, 2021)","plainCitation":"(Hemingway &amp; Frazier, 2021)","noteIndex":0},"citationItems":[{"id":405,"uris":["http://zotero.org/users/local/WcktKtYd/items/LGR2QH27"],"itemData":{"id":405,"type":"paper-conference","abstract":"Commercial smallsats are emerging as a key resource for the remote sensing community, with Planet Labs, Inc. operating the largest constellation. Global coverage is achieved through the combined efforts of many different sensors, but the unique spectral response of each sensor results in radiometric inconsistencies across the constellation. These inconsistencies have been an obstacle for researchers as the images do not match the quality the remote sensing community has come to expect from traditional platforms such as Landsat or Sentinel. Various approaches have been offered to correct cross-sensor radiometric inconsistencies in Planet image acquisitions, with many utilizing high radiometric quality platforms such as Landsat or Sentinel to normalize Planet surface reflectance via a linear transformation. These approaches have largely been applied in homogenous regions, and performance in heterogeneous landscapes is not well understood. The Planet surface reflectance images were transformed linearly using Sentinel-2 surface reflectance as a reference. Transformations were tested in six heterogeneous National Ecological Observatory Network sites where airborne hyperspectral data was available for validation. The probability density functions of the transformed Planet images and the corresponding Sentinel reference images were compared using the D statistic of the Kolmogorov-Smirnov test. The absolute spectral accuracy of the transformed Planet images was evaluated against airborne hyperspectral data. Results show that the transformations were effective in transforming the empirical cumulative distribution functions of the Planet images to be more similar to that of Sentinel regardless of initial offsets.","container-title":"Image and Signal Processing for Remote Sensing XXVII","DOI":"10.1117/12.2600246","event-place":"Online Only, Spain","event-title":"Image and Signal Processing for Remote Sensing XXVII","ISBN":"978-1-5106-4568-4","language":"en","page":"1","publisher":"SPIE","publisher-place":"Online Only, Spain","source":"DOI.org (Crossref)","title":"Cross-sensor radiometric normalization of Planet smallsat data using Sentinel-2 to improve consistency across scenes and environments","URL":"https://www.spiedigitallibrary.org/conference-proceedings-of-spie/11862/2600246/Cross-sensor-radiometric-normalization-of-Planet-smallsat-data-using-Sentinel/10.1117/12.2600246.full","author":[{"family":"Hemingway","given":"Benjamin L."},{"family":"Frazier","given":"Amy E."}],"editor":[{"family":"Bruzzone","given":"Lorenzo"},{"family":"Bovolo","given":"Francesca"},{"family":"Benediktsson","given":"Jon Atli"}],"accessed":{"date-parts":[["2022",6,6]]},"issued":{"date-parts":[["2021",9,12]]}}}],"schema":"https://github.com/citation-style-language/schema/raw/master/csl-citation.json"} </w:instrText>
      </w:r>
      <w:r w:rsidR="00C745D1">
        <w:rPr>
          <w:lang w:val="en-US"/>
        </w:rPr>
        <w:fldChar w:fldCharType="separate"/>
      </w:r>
      <w:r w:rsidR="00C745D1" w:rsidRPr="00C745D1">
        <w:t>(Hemingway &amp; Frazier, 2021)</w:t>
      </w:r>
      <w:r w:rsidR="00C745D1">
        <w:rPr>
          <w:lang w:val="en-US"/>
        </w:rPr>
        <w:fldChar w:fldCharType="end"/>
      </w:r>
      <w:r w:rsidR="006E3FE4">
        <w:rPr>
          <w:lang w:val="en-US"/>
        </w:rPr>
        <w:t>. To overcome the issue, this study proposed a relaxation algorithm that improves image consistency</w:t>
      </w:r>
      <w:r w:rsidR="00CF11DE">
        <w:rPr>
          <w:lang w:val="en-US"/>
        </w:rPr>
        <w:t xml:space="preserve"> without relying on a reference image. This algorithm iteratively adjusts the radiometric values of the images until desired level of image consistency is reached, which indicated by minimum error value between the multitemporal cross-sensor images. </w:t>
      </w:r>
      <w:r w:rsidR="00DF73A4">
        <w:rPr>
          <w:lang w:val="en-US"/>
        </w:rPr>
        <w:t>This relaxation algorithm was tested on multitemporal cross sensor image datasets</w:t>
      </w:r>
      <w:r w:rsidR="007E7FFB">
        <w:rPr>
          <w:lang w:val="en-US"/>
        </w:rPr>
        <w:t xml:space="preserve"> that consist of Landsat 8 OLI images and Sentinel 2 MSI images that will be explained in section 2. Then, the</w:t>
      </w:r>
      <w:r w:rsidR="00A35F4F">
        <w:rPr>
          <w:lang w:val="en-US"/>
        </w:rPr>
        <w:t xml:space="preserve"> results and discussion in section 3. Lastly, section 4 is the conclusion of this study.</w:t>
      </w:r>
    </w:p>
    <w:p w14:paraId="5F1E9928" w14:textId="2E38627A" w:rsidR="009E4CBD" w:rsidRDefault="009207EE" w:rsidP="009E4CBD">
      <w:pPr>
        <w:widowControl w:val="0"/>
        <w:numPr>
          <w:ilvl w:val="0"/>
          <w:numId w:val="4"/>
        </w:numPr>
        <w:tabs>
          <w:tab w:val="clear" w:pos="1134"/>
        </w:tabs>
        <w:suppressAutoHyphens w:val="0"/>
        <w:kinsoku w:val="0"/>
        <w:overflowPunct w:val="0"/>
        <w:snapToGrid w:val="0"/>
        <w:spacing w:beforeLines="50" w:before="120"/>
        <w:rPr>
          <w:rFonts w:eastAsia="DFKai-SB"/>
          <w:b/>
        </w:rPr>
      </w:pPr>
      <w:r>
        <w:rPr>
          <w:rFonts w:eastAsia="DFKai-SB"/>
          <w:b/>
        </w:rPr>
        <w:t>Data and Method</w:t>
      </w:r>
    </w:p>
    <w:p w14:paraId="0D8A0BDC" w14:textId="7E602018" w:rsidR="00600E4B" w:rsidRDefault="00600E4B" w:rsidP="00C82F6C">
      <w:pPr>
        <w:widowControl w:val="0"/>
        <w:numPr>
          <w:ilvl w:val="1"/>
          <w:numId w:val="4"/>
        </w:numPr>
        <w:tabs>
          <w:tab w:val="clear" w:pos="1134"/>
        </w:tabs>
        <w:suppressAutoHyphens w:val="0"/>
        <w:kinsoku w:val="0"/>
        <w:overflowPunct w:val="0"/>
        <w:snapToGrid w:val="0"/>
        <w:spacing w:beforeLines="50" w:before="120"/>
        <w:ind w:left="426"/>
        <w:rPr>
          <w:rFonts w:eastAsia="DFKai-SB"/>
          <w:b/>
        </w:rPr>
      </w:pPr>
      <w:r>
        <w:rPr>
          <w:rFonts w:eastAsia="DFKai-SB"/>
          <w:b/>
        </w:rPr>
        <w:t>Satellite Data</w:t>
      </w:r>
    </w:p>
    <w:p w14:paraId="6A79025C" w14:textId="5572E263" w:rsidR="00600E4B" w:rsidRPr="00C82F6C" w:rsidRDefault="00600E4B" w:rsidP="00C82F6C">
      <w:pPr>
        <w:widowControl w:val="0"/>
        <w:tabs>
          <w:tab w:val="clear" w:pos="1134"/>
        </w:tabs>
        <w:suppressAutoHyphens w:val="0"/>
        <w:kinsoku w:val="0"/>
        <w:overflowPunct w:val="0"/>
        <w:snapToGrid w:val="0"/>
        <w:spacing w:beforeLines="50" w:before="120"/>
        <w:rPr>
          <w:bCs/>
          <w:lang w:bidi="en-US"/>
        </w:rPr>
      </w:pPr>
      <w:r w:rsidRPr="00C82F6C">
        <w:rPr>
          <w:rFonts w:eastAsia="DFKai-SB"/>
          <w:bCs/>
        </w:rPr>
        <w:t xml:space="preserve">In this study we </w:t>
      </w:r>
      <w:r w:rsidR="00C82F6C" w:rsidRPr="00C82F6C">
        <w:rPr>
          <w:rFonts w:eastAsia="DFKai-SB"/>
          <w:bCs/>
        </w:rPr>
        <w:t>utilized a collection of multitemporal cross-sensor images from two sensor, Landsat 8 OLI (</w:t>
      </w:r>
      <w:r w:rsidR="00C82F6C" w:rsidRPr="00C82F6C">
        <w:rPr>
          <w:bCs/>
          <w:lang w:bidi="en-US"/>
        </w:rPr>
        <w:t xml:space="preserve">LANDSAT/LC08/C02/T1_L2) and Sentinel 2 MSI (COPERNICUS/S2_SR) surface reflectance images. Detailed information about each dataset can </w:t>
      </w:r>
      <w:r w:rsidR="00C82F6C" w:rsidRPr="00D80F38">
        <w:rPr>
          <w:bCs/>
          <w:lang w:bidi="en-US"/>
        </w:rPr>
        <w:t>be found in Table 1. All available spectral bands</w:t>
      </w:r>
      <w:r w:rsidR="009A216A">
        <w:rPr>
          <w:bCs/>
          <w:lang w:bidi="en-US"/>
        </w:rPr>
        <w:t xml:space="preserve"> (BLUE, GREEN, RED, NIR, SWIR1 and SWIR2)</w:t>
      </w:r>
      <w:r w:rsidR="00C82F6C" w:rsidRPr="00D80F38">
        <w:rPr>
          <w:bCs/>
          <w:lang w:bidi="en-US"/>
        </w:rPr>
        <w:t xml:space="preserve"> are used for analysis, except for the thermal, cirrus, and panchromatic bands. </w:t>
      </w:r>
      <w:r w:rsidR="00D80F38" w:rsidRPr="00D80F38">
        <w:rPr>
          <w:lang w:bidi="en-US"/>
        </w:rPr>
        <w:t>By examining these diverse datasets, we were able to gain valuable insights into the specific impacts of our proposed relaxation method on various geographic features.</w:t>
      </w:r>
    </w:p>
    <w:p w14:paraId="38AF468D" w14:textId="2281612D" w:rsidR="00C82F6C" w:rsidRPr="00C82F6C" w:rsidRDefault="00C82F6C" w:rsidP="00C82F6C">
      <w:pPr>
        <w:pStyle w:val="MDPI41tablecaption"/>
        <w:ind w:left="142"/>
        <w:rPr>
          <w:rFonts w:ascii="Times New Roman" w:hAnsi="Times New Roman" w:cs="Times New Roman"/>
          <w:sz w:val="20"/>
          <w:szCs w:val="20"/>
        </w:rPr>
      </w:pPr>
      <w:r w:rsidRPr="00C82F6C">
        <w:rPr>
          <w:rFonts w:ascii="Times New Roman" w:hAnsi="Times New Roman" w:cs="Times New Roman"/>
          <w:b/>
          <w:sz w:val="20"/>
          <w:szCs w:val="20"/>
        </w:rPr>
        <w:t>Table 1.</w:t>
      </w:r>
      <w:r w:rsidRPr="00C82F6C">
        <w:rPr>
          <w:rFonts w:ascii="Times New Roman" w:hAnsi="Times New Roman" w:cs="Times New Roman"/>
          <w:sz w:val="20"/>
          <w:szCs w:val="20"/>
        </w:rPr>
        <w:t xml:space="preserve"> Multitemporal cross-sensor datasets </w:t>
      </w:r>
      <w:r w:rsidR="009A216A" w:rsidRPr="00C82F6C">
        <w:rPr>
          <w:rFonts w:ascii="Times New Roman" w:hAnsi="Times New Roman" w:cs="Times New Roman"/>
          <w:sz w:val="20"/>
          <w:szCs w:val="20"/>
        </w:rPr>
        <w:t>were used</w:t>
      </w:r>
      <w:r w:rsidRPr="00C82F6C">
        <w:rPr>
          <w:rFonts w:ascii="Times New Roman" w:hAnsi="Times New Roman" w:cs="Times New Roman"/>
          <w:sz w:val="20"/>
          <w:szCs w:val="20"/>
        </w:rPr>
        <w:t xml:space="preserve"> in </w:t>
      </w:r>
      <w:r w:rsidR="009A216A">
        <w:rPr>
          <w:rFonts w:ascii="Times New Roman" w:hAnsi="Times New Roman" w:cs="Times New Roman"/>
          <w:sz w:val="20"/>
          <w:szCs w:val="20"/>
        </w:rPr>
        <w:t>this study</w:t>
      </w:r>
      <w:r w:rsidRPr="00C82F6C">
        <w:rPr>
          <w:rFonts w:ascii="Times New Roman" w:hAnsi="Times New Roman" w:cs="Times New Roman"/>
          <w:sz w:val="20"/>
          <w:szCs w:val="20"/>
        </w:rPr>
        <w:t>.</w:t>
      </w:r>
    </w:p>
    <w:tbl>
      <w:tblPr>
        <w:tblW w:w="4623" w:type="pct"/>
        <w:jc w:val="center"/>
        <w:tblBorders>
          <w:top w:val="single" w:sz="4" w:space="0" w:color="7F7F7F"/>
          <w:bottom w:val="single" w:sz="4" w:space="0" w:color="7F7F7F"/>
        </w:tblBorders>
        <w:tblLayout w:type="fixed"/>
        <w:tblLook w:val="0420" w:firstRow="1" w:lastRow="0" w:firstColumn="0" w:lastColumn="0" w:noHBand="0" w:noVBand="1"/>
      </w:tblPr>
      <w:tblGrid>
        <w:gridCol w:w="1020"/>
        <w:gridCol w:w="1721"/>
        <w:gridCol w:w="2193"/>
        <w:gridCol w:w="2640"/>
        <w:gridCol w:w="1332"/>
      </w:tblGrid>
      <w:tr w:rsidR="00C82F6C" w:rsidRPr="004677FC" w14:paraId="04D7D9BA" w14:textId="77777777" w:rsidTr="002748DA">
        <w:trPr>
          <w:trHeight w:val="218"/>
          <w:jc w:val="center"/>
        </w:trPr>
        <w:tc>
          <w:tcPr>
            <w:tcW w:w="573" w:type="pct"/>
            <w:tcBorders>
              <w:top w:val="single" w:sz="4" w:space="0" w:color="auto"/>
              <w:bottom w:val="single" w:sz="4" w:space="0" w:color="auto"/>
            </w:tcBorders>
            <w:shd w:val="clear" w:color="auto" w:fill="auto"/>
            <w:vAlign w:val="center"/>
          </w:tcPr>
          <w:p w14:paraId="37324F83" w14:textId="77777777" w:rsidR="00C82F6C" w:rsidRPr="00C82F6C" w:rsidRDefault="00C82F6C" w:rsidP="002748DA">
            <w:pPr>
              <w:jc w:val="center"/>
              <w:rPr>
                <w:rFonts w:eastAsia="Times New Roman"/>
                <w:b/>
                <w:bCs/>
                <w:kern w:val="24"/>
              </w:rPr>
            </w:pPr>
            <w:bookmarkStart w:id="0" w:name="_Hlk133449503"/>
            <w:r w:rsidRPr="00C82F6C">
              <w:rPr>
                <w:rFonts w:eastAsia="Times New Roman"/>
                <w:b/>
                <w:bCs/>
                <w:kern w:val="24"/>
              </w:rPr>
              <w:t>Dataset</w:t>
            </w:r>
          </w:p>
        </w:tc>
        <w:tc>
          <w:tcPr>
            <w:tcW w:w="966" w:type="pct"/>
            <w:tcBorders>
              <w:top w:val="single" w:sz="4" w:space="0" w:color="auto"/>
              <w:bottom w:val="single" w:sz="4" w:space="0" w:color="auto"/>
            </w:tcBorders>
            <w:shd w:val="clear" w:color="auto" w:fill="auto"/>
            <w:vAlign w:val="center"/>
            <w:hideMark/>
          </w:tcPr>
          <w:p w14:paraId="20212896" w14:textId="77777777" w:rsidR="00C82F6C" w:rsidRPr="00C82F6C" w:rsidRDefault="00C82F6C" w:rsidP="002748DA">
            <w:pPr>
              <w:jc w:val="center"/>
              <w:rPr>
                <w:rFonts w:eastAsia="Times New Roman"/>
                <w:b/>
                <w:bCs/>
              </w:rPr>
            </w:pPr>
            <w:r w:rsidRPr="00C82F6C">
              <w:rPr>
                <w:rFonts w:eastAsia="Times New Roman"/>
                <w:b/>
                <w:bCs/>
                <w:kern w:val="24"/>
              </w:rPr>
              <w:t>Location</w:t>
            </w:r>
          </w:p>
        </w:tc>
        <w:tc>
          <w:tcPr>
            <w:tcW w:w="1231" w:type="pct"/>
            <w:tcBorders>
              <w:top w:val="single" w:sz="4" w:space="0" w:color="auto"/>
              <w:bottom w:val="single" w:sz="4" w:space="0" w:color="auto"/>
            </w:tcBorders>
            <w:shd w:val="clear" w:color="auto" w:fill="auto"/>
            <w:vAlign w:val="center"/>
            <w:hideMark/>
          </w:tcPr>
          <w:p w14:paraId="331ECDB9" w14:textId="77777777" w:rsidR="00C82F6C" w:rsidRPr="00C82F6C" w:rsidRDefault="00C82F6C" w:rsidP="002748DA">
            <w:pPr>
              <w:jc w:val="center"/>
              <w:rPr>
                <w:rFonts w:eastAsia="Times New Roman"/>
                <w:b/>
                <w:bCs/>
              </w:rPr>
            </w:pPr>
            <w:r w:rsidRPr="00C82F6C">
              <w:rPr>
                <w:rFonts w:eastAsia="Times New Roman"/>
                <w:b/>
                <w:bCs/>
                <w:kern w:val="24"/>
              </w:rPr>
              <w:t>Acquisition date</w:t>
            </w:r>
          </w:p>
        </w:tc>
        <w:tc>
          <w:tcPr>
            <w:tcW w:w="1482" w:type="pct"/>
            <w:tcBorders>
              <w:top w:val="single" w:sz="4" w:space="0" w:color="auto"/>
              <w:bottom w:val="single" w:sz="4" w:space="0" w:color="auto"/>
            </w:tcBorders>
            <w:shd w:val="clear" w:color="auto" w:fill="auto"/>
            <w:vAlign w:val="center"/>
            <w:hideMark/>
          </w:tcPr>
          <w:p w14:paraId="3FC6F3C5" w14:textId="77777777" w:rsidR="00C82F6C" w:rsidRPr="00C82F6C" w:rsidRDefault="00C82F6C" w:rsidP="002748DA">
            <w:pPr>
              <w:jc w:val="center"/>
              <w:rPr>
                <w:rFonts w:eastAsia="Times New Roman"/>
                <w:b/>
                <w:bCs/>
              </w:rPr>
            </w:pPr>
            <w:r w:rsidRPr="00C82F6C">
              <w:rPr>
                <w:rFonts w:eastAsia="Times New Roman"/>
                <w:b/>
                <w:bCs/>
              </w:rPr>
              <w:t>Geographical features</w:t>
            </w:r>
          </w:p>
        </w:tc>
        <w:tc>
          <w:tcPr>
            <w:tcW w:w="748" w:type="pct"/>
            <w:tcBorders>
              <w:top w:val="single" w:sz="4" w:space="0" w:color="auto"/>
              <w:bottom w:val="single" w:sz="4" w:space="0" w:color="auto"/>
            </w:tcBorders>
            <w:shd w:val="clear" w:color="auto" w:fill="auto"/>
          </w:tcPr>
          <w:p w14:paraId="4E82A3EF" w14:textId="77777777" w:rsidR="00C82F6C" w:rsidRPr="00C82F6C" w:rsidRDefault="00C82F6C" w:rsidP="002748DA">
            <w:pPr>
              <w:jc w:val="center"/>
              <w:rPr>
                <w:rFonts w:eastAsia="Times New Roman"/>
                <w:b/>
                <w:bCs/>
              </w:rPr>
            </w:pPr>
            <w:r w:rsidRPr="00C82F6C">
              <w:rPr>
                <w:rFonts w:eastAsia="Times New Roman"/>
                <w:b/>
                <w:bCs/>
              </w:rPr>
              <w:t>Total Image</w:t>
            </w:r>
          </w:p>
        </w:tc>
      </w:tr>
      <w:tr w:rsidR="00C82F6C" w:rsidRPr="004677FC" w14:paraId="4AFCA179" w14:textId="77777777" w:rsidTr="00C82F6C">
        <w:trPr>
          <w:trHeight w:val="218"/>
          <w:jc w:val="center"/>
        </w:trPr>
        <w:tc>
          <w:tcPr>
            <w:tcW w:w="573" w:type="pct"/>
            <w:tcBorders>
              <w:top w:val="single" w:sz="4" w:space="0" w:color="auto"/>
              <w:bottom w:val="single" w:sz="4" w:space="0" w:color="auto"/>
            </w:tcBorders>
            <w:shd w:val="clear" w:color="auto" w:fill="auto"/>
            <w:vAlign w:val="center"/>
          </w:tcPr>
          <w:p w14:paraId="67C85623" w14:textId="77777777" w:rsidR="00C82F6C" w:rsidRPr="00C82F6C" w:rsidRDefault="00C82F6C" w:rsidP="00C82F6C">
            <w:pPr>
              <w:jc w:val="center"/>
              <w:rPr>
                <w:rFonts w:eastAsia="Times New Roman"/>
                <w:kern w:val="24"/>
              </w:rPr>
            </w:pPr>
            <w:r w:rsidRPr="00C82F6C">
              <w:rPr>
                <w:rFonts w:eastAsia="Times New Roman"/>
                <w:kern w:val="24"/>
              </w:rPr>
              <w:t>#1</w:t>
            </w:r>
          </w:p>
        </w:tc>
        <w:tc>
          <w:tcPr>
            <w:tcW w:w="966" w:type="pct"/>
            <w:tcBorders>
              <w:top w:val="single" w:sz="4" w:space="0" w:color="auto"/>
              <w:bottom w:val="single" w:sz="4" w:space="0" w:color="auto"/>
            </w:tcBorders>
            <w:shd w:val="clear" w:color="auto" w:fill="auto"/>
            <w:vAlign w:val="center"/>
          </w:tcPr>
          <w:p w14:paraId="0B9D64F2" w14:textId="09DAFE6E" w:rsidR="00C82F6C" w:rsidRPr="00C82F6C" w:rsidRDefault="00C82F6C" w:rsidP="00C82F6C">
            <w:pPr>
              <w:rPr>
                <w:rFonts w:eastAsia="Times New Roman"/>
              </w:rPr>
            </w:pPr>
            <w:r w:rsidRPr="00C82F6C">
              <w:rPr>
                <w:rFonts w:eastAsia="Times New Roman"/>
                <w:kern w:val="24"/>
              </w:rPr>
              <w:t>Mut, Egypt</w:t>
            </w:r>
          </w:p>
        </w:tc>
        <w:tc>
          <w:tcPr>
            <w:tcW w:w="1231" w:type="pct"/>
            <w:tcBorders>
              <w:top w:val="single" w:sz="4" w:space="0" w:color="auto"/>
              <w:bottom w:val="single" w:sz="4" w:space="0" w:color="auto"/>
            </w:tcBorders>
            <w:shd w:val="clear" w:color="auto" w:fill="auto"/>
            <w:vAlign w:val="center"/>
          </w:tcPr>
          <w:p w14:paraId="30363E6E" w14:textId="315F760A" w:rsidR="00C82F6C" w:rsidRPr="00C82F6C" w:rsidRDefault="00C82F6C" w:rsidP="00C82F6C">
            <w:pPr>
              <w:jc w:val="center"/>
              <w:rPr>
                <w:rFonts w:eastAsia="Times New Roman"/>
              </w:rPr>
            </w:pPr>
            <w:r w:rsidRPr="00C82F6C">
              <w:rPr>
                <w:rFonts w:eastAsia="Times New Roman"/>
                <w:kern w:val="24"/>
              </w:rPr>
              <w:t>Oct – Dec 2020</w:t>
            </w:r>
          </w:p>
        </w:tc>
        <w:tc>
          <w:tcPr>
            <w:tcW w:w="1482" w:type="pct"/>
            <w:tcBorders>
              <w:top w:val="single" w:sz="4" w:space="0" w:color="auto"/>
              <w:bottom w:val="single" w:sz="4" w:space="0" w:color="auto"/>
            </w:tcBorders>
            <w:shd w:val="clear" w:color="auto" w:fill="auto"/>
            <w:vAlign w:val="center"/>
          </w:tcPr>
          <w:p w14:paraId="2C05C360" w14:textId="36401A53" w:rsidR="00C82F6C" w:rsidRPr="00C82F6C" w:rsidRDefault="00C82F6C" w:rsidP="00C82F6C">
            <w:pPr>
              <w:contextualSpacing/>
              <w:rPr>
                <w:rFonts w:eastAsia="Times New Roman"/>
              </w:rPr>
            </w:pPr>
            <w:r w:rsidRPr="00C82F6C">
              <w:rPr>
                <w:rFonts w:eastAsia="Times New Roman"/>
                <w:kern w:val="24"/>
              </w:rPr>
              <w:t>Small village in desert area</w:t>
            </w:r>
          </w:p>
        </w:tc>
        <w:tc>
          <w:tcPr>
            <w:tcW w:w="748" w:type="pct"/>
            <w:tcBorders>
              <w:top w:val="single" w:sz="4" w:space="0" w:color="auto"/>
              <w:bottom w:val="single" w:sz="4" w:space="0" w:color="auto"/>
            </w:tcBorders>
            <w:shd w:val="clear" w:color="auto" w:fill="auto"/>
            <w:vAlign w:val="center"/>
          </w:tcPr>
          <w:p w14:paraId="7425034D" w14:textId="543EC0F0" w:rsidR="00C82F6C" w:rsidRPr="00C82F6C" w:rsidRDefault="00C82F6C" w:rsidP="00C82F6C">
            <w:pPr>
              <w:jc w:val="center"/>
              <w:rPr>
                <w:rFonts w:eastAsia="Times New Roman"/>
                <w:kern w:val="24"/>
              </w:rPr>
            </w:pPr>
            <w:r w:rsidRPr="00C82F6C">
              <w:rPr>
                <w:rFonts w:eastAsia="Times New Roman"/>
                <w:kern w:val="24"/>
              </w:rPr>
              <w:t>6</w:t>
            </w:r>
          </w:p>
        </w:tc>
      </w:tr>
      <w:tr w:rsidR="00C82F6C" w:rsidRPr="004677FC" w14:paraId="0E8D992B" w14:textId="77777777" w:rsidTr="00C82F6C">
        <w:trPr>
          <w:trHeight w:val="163"/>
          <w:jc w:val="center"/>
        </w:trPr>
        <w:tc>
          <w:tcPr>
            <w:tcW w:w="573" w:type="pct"/>
            <w:tcBorders>
              <w:top w:val="single" w:sz="4" w:space="0" w:color="auto"/>
              <w:bottom w:val="single" w:sz="4" w:space="0" w:color="auto"/>
            </w:tcBorders>
            <w:shd w:val="clear" w:color="auto" w:fill="auto"/>
            <w:vAlign w:val="center"/>
          </w:tcPr>
          <w:p w14:paraId="58CB8C93" w14:textId="77777777" w:rsidR="00C82F6C" w:rsidRPr="00C82F6C" w:rsidRDefault="00C82F6C" w:rsidP="00C82F6C">
            <w:pPr>
              <w:jc w:val="center"/>
              <w:rPr>
                <w:rFonts w:eastAsia="Times New Roman"/>
                <w:kern w:val="24"/>
              </w:rPr>
            </w:pPr>
            <w:r w:rsidRPr="00C82F6C">
              <w:rPr>
                <w:rFonts w:eastAsia="Times New Roman"/>
                <w:kern w:val="24"/>
              </w:rPr>
              <w:t>#2</w:t>
            </w:r>
          </w:p>
        </w:tc>
        <w:tc>
          <w:tcPr>
            <w:tcW w:w="966" w:type="pct"/>
            <w:tcBorders>
              <w:top w:val="single" w:sz="4" w:space="0" w:color="auto"/>
              <w:bottom w:val="single" w:sz="4" w:space="0" w:color="auto"/>
            </w:tcBorders>
            <w:shd w:val="clear" w:color="auto" w:fill="auto"/>
            <w:vAlign w:val="center"/>
          </w:tcPr>
          <w:p w14:paraId="13DCD9A4" w14:textId="331F2B2E" w:rsidR="00C82F6C" w:rsidRPr="00C82F6C" w:rsidRDefault="00C82F6C" w:rsidP="00C82F6C">
            <w:pPr>
              <w:rPr>
                <w:rFonts w:eastAsia="Times New Roman"/>
              </w:rPr>
            </w:pPr>
            <w:r w:rsidRPr="00C82F6C">
              <w:rPr>
                <w:rFonts w:eastAsia="Times New Roman"/>
                <w:kern w:val="24"/>
              </w:rPr>
              <w:t>Manaus, Brazil</w:t>
            </w:r>
          </w:p>
        </w:tc>
        <w:tc>
          <w:tcPr>
            <w:tcW w:w="1231" w:type="pct"/>
            <w:tcBorders>
              <w:top w:val="single" w:sz="4" w:space="0" w:color="auto"/>
              <w:bottom w:val="single" w:sz="4" w:space="0" w:color="auto"/>
            </w:tcBorders>
            <w:shd w:val="clear" w:color="auto" w:fill="auto"/>
            <w:vAlign w:val="center"/>
          </w:tcPr>
          <w:p w14:paraId="1A96342F" w14:textId="4DC84DF7" w:rsidR="00C82F6C" w:rsidRPr="00C82F6C" w:rsidRDefault="00C82F6C" w:rsidP="00C82F6C">
            <w:pPr>
              <w:jc w:val="center"/>
              <w:rPr>
                <w:rFonts w:eastAsia="Times New Roman"/>
              </w:rPr>
            </w:pPr>
            <w:r w:rsidRPr="00C82F6C">
              <w:rPr>
                <w:rFonts w:eastAsia="Times New Roman"/>
                <w:kern w:val="24"/>
              </w:rPr>
              <w:t>June – Sept 2021</w:t>
            </w:r>
          </w:p>
        </w:tc>
        <w:tc>
          <w:tcPr>
            <w:tcW w:w="1482" w:type="pct"/>
            <w:tcBorders>
              <w:top w:val="single" w:sz="4" w:space="0" w:color="auto"/>
              <w:bottom w:val="single" w:sz="4" w:space="0" w:color="auto"/>
            </w:tcBorders>
            <w:shd w:val="clear" w:color="auto" w:fill="auto"/>
            <w:vAlign w:val="center"/>
          </w:tcPr>
          <w:p w14:paraId="0F5CAD1E" w14:textId="1863D6CC" w:rsidR="00C82F6C" w:rsidRPr="00C82F6C" w:rsidRDefault="00C82F6C" w:rsidP="00C82F6C">
            <w:pPr>
              <w:rPr>
                <w:rFonts w:eastAsia="Times New Roman"/>
              </w:rPr>
            </w:pPr>
            <w:r w:rsidRPr="00C82F6C">
              <w:rPr>
                <w:rFonts w:eastAsia="Times New Roman"/>
                <w:kern w:val="24"/>
              </w:rPr>
              <w:t>Cloud Pixels and urban area</w:t>
            </w:r>
          </w:p>
        </w:tc>
        <w:tc>
          <w:tcPr>
            <w:tcW w:w="748" w:type="pct"/>
            <w:tcBorders>
              <w:top w:val="single" w:sz="4" w:space="0" w:color="auto"/>
              <w:bottom w:val="single" w:sz="4" w:space="0" w:color="auto"/>
            </w:tcBorders>
            <w:shd w:val="clear" w:color="auto" w:fill="auto"/>
            <w:vAlign w:val="center"/>
          </w:tcPr>
          <w:p w14:paraId="716A1AA8" w14:textId="49341053" w:rsidR="00C82F6C" w:rsidRPr="00C82F6C" w:rsidRDefault="00C82F6C" w:rsidP="00C82F6C">
            <w:pPr>
              <w:jc w:val="center"/>
              <w:rPr>
                <w:rFonts w:eastAsia="Times New Roman"/>
                <w:kern w:val="24"/>
              </w:rPr>
            </w:pPr>
            <w:r w:rsidRPr="00C82F6C">
              <w:rPr>
                <w:rFonts w:eastAsia="Times New Roman"/>
                <w:kern w:val="24"/>
              </w:rPr>
              <w:t>6</w:t>
            </w:r>
          </w:p>
        </w:tc>
      </w:tr>
      <w:tr w:rsidR="00C82F6C" w:rsidRPr="004677FC" w14:paraId="52700E68" w14:textId="77777777" w:rsidTr="00C82F6C">
        <w:trPr>
          <w:trHeight w:val="218"/>
          <w:jc w:val="center"/>
        </w:trPr>
        <w:tc>
          <w:tcPr>
            <w:tcW w:w="573" w:type="pct"/>
            <w:tcBorders>
              <w:top w:val="single" w:sz="4" w:space="0" w:color="auto"/>
              <w:bottom w:val="single" w:sz="4" w:space="0" w:color="auto"/>
            </w:tcBorders>
            <w:shd w:val="clear" w:color="auto" w:fill="auto"/>
            <w:vAlign w:val="center"/>
          </w:tcPr>
          <w:p w14:paraId="6939BD17" w14:textId="77777777" w:rsidR="00C82F6C" w:rsidRPr="00C82F6C" w:rsidRDefault="00C82F6C" w:rsidP="00C82F6C">
            <w:pPr>
              <w:jc w:val="center"/>
              <w:rPr>
                <w:rFonts w:eastAsia="Times New Roman"/>
                <w:kern w:val="24"/>
              </w:rPr>
            </w:pPr>
            <w:r w:rsidRPr="00C82F6C">
              <w:rPr>
                <w:rFonts w:eastAsia="Times New Roman"/>
                <w:kern w:val="24"/>
              </w:rPr>
              <w:t>#3</w:t>
            </w:r>
          </w:p>
        </w:tc>
        <w:tc>
          <w:tcPr>
            <w:tcW w:w="966" w:type="pct"/>
            <w:tcBorders>
              <w:top w:val="single" w:sz="4" w:space="0" w:color="auto"/>
              <w:bottom w:val="single" w:sz="4" w:space="0" w:color="auto"/>
            </w:tcBorders>
            <w:shd w:val="clear" w:color="auto" w:fill="auto"/>
            <w:vAlign w:val="center"/>
          </w:tcPr>
          <w:p w14:paraId="67181D94" w14:textId="6474D8AD" w:rsidR="00C82F6C" w:rsidRPr="00C82F6C" w:rsidRDefault="00C82F6C" w:rsidP="00C82F6C">
            <w:pPr>
              <w:rPr>
                <w:rFonts w:eastAsia="Times New Roman"/>
              </w:rPr>
            </w:pPr>
            <w:r w:rsidRPr="00C82F6C">
              <w:rPr>
                <w:rFonts w:eastAsia="Times New Roman"/>
                <w:kern w:val="24"/>
              </w:rPr>
              <w:t>Legrena, Greece</w:t>
            </w:r>
          </w:p>
        </w:tc>
        <w:tc>
          <w:tcPr>
            <w:tcW w:w="1231" w:type="pct"/>
            <w:tcBorders>
              <w:top w:val="single" w:sz="4" w:space="0" w:color="auto"/>
              <w:bottom w:val="single" w:sz="4" w:space="0" w:color="auto"/>
            </w:tcBorders>
            <w:shd w:val="clear" w:color="auto" w:fill="auto"/>
            <w:vAlign w:val="center"/>
          </w:tcPr>
          <w:p w14:paraId="2333AB22" w14:textId="71A94D12" w:rsidR="00C82F6C" w:rsidRPr="00C82F6C" w:rsidRDefault="00C82F6C" w:rsidP="00C82F6C">
            <w:pPr>
              <w:jc w:val="center"/>
              <w:rPr>
                <w:rFonts w:eastAsia="Times New Roman"/>
              </w:rPr>
            </w:pPr>
            <w:r w:rsidRPr="00C82F6C">
              <w:rPr>
                <w:rFonts w:eastAsia="Times New Roman"/>
                <w:kern w:val="24"/>
              </w:rPr>
              <w:t>May – June 2022</w:t>
            </w:r>
          </w:p>
        </w:tc>
        <w:tc>
          <w:tcPr>
            <w:tcW w:w="1482" w:type="pct"/>
            <w:tcBorders>
              <w:top w:val="single" w:sz="4" w:space="0" w:color="auto"/>
              <w:bottom w:val="single" w:sz="4" w:space="0" w:color="auto"/>
            </w:tcBorders>
            <w:shd w:val="clear" w:color="auto" w:fill="auto"/>
            <w:vAlign w:val="center"/>
          </w:tcPr>
          <w:p w14:paraId="1038EE34" w14:textId="06FE9EC8" w:rsidR="00C82F6C" w:rsidRPr="00C82F6C" w:rsidRDefault="00C82F6C" w:rsidP="00C82F6C">
            <w:pPr>
              <w:rPr>
                <w:rFonts w:eastAsia="Times New Roman"/>
              </w:rPr>
            </w:pPr>
            <w:r w:rsidRPr="00C82F6C">
              <w:rPr>
                <w:rFonts w:eastAsia="Times New Roman"/>
                <w:kern w:val="24"/>
              </w:rPr>
              <w:t>Water body, hill, and shadow</w:t>
            </w:r>
          </w:p>
        </w:tc>
        <w:tc>
          <w:tcPr>
            <w:tcW w:w="748" w:type="pct"/>
            <w:tcBorders>
              <w:top w:val="single" w:sz="4" w:space="0" w:color="auto"/>
              <w:bottom w:val="single" w:sz="4" w:space="0" w:color="auto"/>
            </w:tcBorders>
            <w:shd w:val="clear" w:color="auto" w:fill="auto"/>
            <w:vAlign w:val="center"/>
          </w:tcPr>
          <w:p w14:paraId="7316F2DD" w14:textId="711E2037" w:rsidR="00C82F6C" w:rsidRPr="00C82F6C" w:rsidRDefault="00C82F6C" w:rsidP="00C82F6C">
            <w:pPr>
              <w:jc w:val="center"/>
              <w:rPr>
                <w:rFonts w:eastAsia="Times New Roman"/>
                <w:kern w:val="24"/>
              </w:rPr>
            </w:pPr>
            <w:r w:rsidRPr="00C82F6C">
              <w:rPr>
                <w:rFonts w:eastAsia="Times New Roman"/>
                <w:kern w:val="24"/>
              </w:rPr>
              <w:t>6</w:t>
            </w:r>
          </w:p>
        </w:tc>
      </w:tr>
      <w:tr w:rsidR="00C82F6C" w:rsidRPr="004677FC" w14:paraId="50CE3E78" w14:textId="77777777" w:rsidTr="00C82F6C">
        <w:trPr>
          <w:trHeight w:val="218"/>
          <w:jc w:val="center"/>
        </w:trPr>
        <w:tc>
          <w:tcPr>
            <w:tcW w:w="573" w:type="pct"/>
            <w:tcBorders>
              <w:top w:val="single" w:sz="4" w:space="0" w:color="auto"/>
              <w:bottom w:val="single" w:sz="4" w:space="0" w:color="auto"/>
            </w:tcBorders>
            <w:shd w:val="clear" w:color="auto" w:fill="auto"/>
            <w:vAlign w:val="center"/>
          </w:tcPr>
          <w:p w14:paraId="2FE58B04" w14:textId="77777777" w:rsidR="00C82F6C" w:rsidRPr="00C82F6C" w:rsidRDefault="00C82F6C" w:rsidP="00C82F6C">
            <w:pPr>
              <w:jc w:val="center"/>
              <w:rPr>
                <w:rFonts w:eastAsia="Times New Roman"/>
                <w:kern w:val="24"/>
              </w:rPr>
            </w:pPr>
            <w:r w:rsidRPr="00C82F6C">
              <w:rPr>
                <w:rFonts w:eastAsia="Times New Roman"/>
                <w:kern w:val="24"/>
              </w:rPr>
              <w:t>#4</w:t>
            </w:r>
          </w:p>
        </w:tc>
        <w:tc>
          <w:tcPr>
            <w:tcW w:w="966" w:type="pct"/>
            <w:tcBorders>
              <w:top w:val="single" w:sz="4" w:space="0" w:color="auto"/>
              <w:bottom w:val="single" w:sz="4" w:space="0" w:color="auto"/>
            </w:tcBorders>
            <w:shd w:val="clear" w:color="auto" w:fill="auto"/>
            <w:vAlign w:val="center"/>
          </w:tcPr>
          <w:p w14:paraId="1412ED20" w14:textId="2BC6DBB6" w:rsidR="00C82F6C" w:rsidRPr="00C82F6C" w:rsidRDefault="00C82F6C" w:rsidP="00C82F6C">
            <w:pPr>
              <w:rPr>
                <w:rFonts w:eastAsia="Times New Roman"/>
              </w:rPr>
            </w:pPr>
            <w:r w:rsidRPr="00C82F6C">
              <w:rPr>
                <w:rFonts w:eastAsia="Times New Roman"/>
                <w:kern w:val="24"/>
              </w:rPr>
              <w:t>Nashville, USA</w:t>
            </w:r>
          </w:p>
        </w:tc>
        <w:tc>
          <w:tcPr>
            <w:tcW w:w="1231" w:type="pct"/>
            <w:tcBorders>
              <w:top w:val="single" w:sz="4" w:space="0" w:color="auto"/>
              <w:bottom w:val="single" w:sz="4" w:space="0" w:color="auto"/>
            </w:tcBorders>
            <w:shd w:val="clear" w:color="auto" w:fill="auto"/>
            <w:vAlign w:val="center"/>
          </w:tcPr>
          <w:p w14:paraId="351FA1D8" w14:textId="06E7A72B" w:rsidR="00C82F6C" w:rsidRPr="00C82F6C" w:rsidRDefault="00C82F6C" w:rsidP="00C82F6C">
            <w:pPr>
              <w:jc w:val="center"/>
              <w:rPr>
                <w:rFonts w:eastAsia="Times New Roman"/>
              </w:rPr>
            </w:pPr>
            <w:r w:rsidRPr="00C82F6C">
              <w:rPr>
                <w:rFonts w:eastAsia="Times New Roman"/>
                <w:kern w:val="24"/>
              </w:rPr>
              <w:t>Sept – Oct 2022</w:t>
            </w:r>
          </w:p>
        </w:tc>
        <w:tc>
          <w:tcPr>
            <w:tcW w:w="1482" w:type="pct"/>
            <w:tcBorders>
              <w:top w:val="single" w:sz="4" w:space="0" w:color="auto"/>
              <w:bottom w:val="single" w:sz="4" w:space="0" w:color="auto"/>
            </w:tcBorders>
            <w:shd w:val="clear" w:color="auto" w:fill="auto"/>
            <w:vAlign w:val="center"/>
          </w:tcPr>
          <w:p w14:paraId="19909E4F" w14:textId="0004CC21" w:rsidR="00C82F6C" w:rsidRPr="00C82F6C" w:rsidRDefault="00C82F6C" w:rsidP="00C82F6C">
            <w:pPr>
              <w:rPr>
                <w:rFonts w:eastAsia="Times New Roman"/>
              </w:rPr>
            </w:pPr>
            <w:r w:rsidRPr="00C82F6C">
              <w:rPr>
                <w:rFonts w:eastAsia="Times New Roman"/>
                <w:kern w:val="24"/>
              </w:rPr>
              <w:t>Seasonal affected urban area</w:t>
            </w:r>
          </w:p>
        </w:tc>
        <w:tc>
          <w:tcPr>
            <w:tcW w:w="748" w:type="pct"/>
            <w:tcBorders>
              <w:top w:val="single" w:sz="4" w:space="0" w:color="auto"/>
              <w:bottom w:val="single" w:sz="4" w:space="0" w:color="auto"/>
            </w:tcBorders>
            <w:shd w:val="clear" w:color="auto" w:fill="auto"/>
            <w:vAlign w:val="center"/>
          </w:tcPr>
          <w:p w14:paraId="5C15F113" w14:textId="5317C79B" w:rsidR="00C82F6C" w:rsidRPr="00C82F6C" w:rsidRDefault="00C82F6C" w:rsidP="00C82F6C">
            <w:pPr>
              <w:jc w:val="center"/>
              <w:rPr>
                <w:rFonts w:eastAsia="Times New Roman"/>
                <w:kern w:val="24"/>
              </w:rPr>
            </w:pPr>
            <w:r w:rsidRPr="00C82F6C">
              <w:rPr>
                <w:rFonts w:eastAsia="Times New Roman"/>
                <w:kern w:val="24"/>
              </w:rPr>
              <w:t>6</w:t>
            </w:r>
          </w:p>
        </w:tc>
      </w:tr>
      <w:bookmarkEnd w:id="0"/>
    </w:tbl>
    <w:p w14:paraId="443ECF9B" w14:textId="77777777" w:rsidR="00C82F6C" w:rsidRDefault="00C82F6C" w:rsidP="00C82F6C">
      <w:pPr>
        <w:widowControl w:val="0"/>
        <w:tabs>
          <w:tab w:val="clear" w:pos="1134"/>
        </w:tabs>
        <w:suppressAutoHyphens w:val="0"/>
        <w:kinsoku w:val="0"/>
        <w:overflowPunct w:val="0"/>
        <w:snapToGrid w:val="0"/>
        <w:spacing w:beforeLines="50" w:before="120"/>
        <w:rPr>
          <w:rFonts w:eastAsia="DFKai-SB"/>
          <w:b/>
        </w:rPr>
      </w:pPr>
    </w:p>
    <w:p w14:paraId="53A6F31C" w14:textId="77777777" w:rsidR="009A216A" w:rsidRDefault="009A216A" w:rsidP="00C82F6C">
      <w:pPr>
        <w:widowControl w:val="0"/>
        <w:tabs>
          <w:tab w:val="clear" w:pos="1134"/>
        </w:tabs>
        <w:suppressAutoHyphens w:val="0"/>
        <w:kinsoku w:val="0"/>
        <w:overflowPunct w:val="0"/>
        <w:snapToGrid w:val="0"/>
        <w:spacing w:beforeLines="50" w:before="120"/>
        <w:rPr>
          <w:rFonts w:eastAsia="DFKai-SB"/>
          <w:b/>
        </w:rPr>
      </w:pPr>
    </w:p>
    <w:p w14:paraId="3A4F771B" w14:textId="2ACB80F6" w:rsidR="00600E4B" w:rsidRDefault="00600E4B" w:rsidP="00C82F6C">
      <w:pPr>
        <w:widowControl w:val="0"/>
        <w:numPr>
          <w:ilvl w:val="1"/>
          <w:numId w:val="4"/>
        </w:numPr>
        <w:tabs>
          <w:tab w:val="clear" w:pos="1134"/>
        </w:tabs>
        <w:suppressAutoHyphens w:val="0"/>
        <w:kinsoku w:val="0"/>
        <w:overflowPunct w:val="0"/>
        <w:snapToGrid w:val="0"/>
        <w:spacing w:beforeLines="50" w:before="120"/>
        <w:ind w:left="426"/>
        <w:rPr>
          <w:rFonts w:eastAsia="DFKai-SB"/>
          <w:b/>
        </w:rPr>
      </w:pPr>
      <w:r w:rsidRPr="00600E4B">
        <w:rPr>
          <w:rFonts w:eastAsia="DFKai-SB"/>
          <w:b/>
        </w:rPr>
        <w:lastRenderedPageBreak/>
        <w:t>Relaxation method Overview</w:t>
      </w:r>
    </w:p>
    <w:p w14:paraId="480D66E1" w14:textId="67308CD4" w:rsidR="005C3865" w:rsidRDefault="00607C96" w:rsidP="00A13C06">
      <w:pPr>
        <w:widowControl w:val="0"/>
        <w:tabs>
          <w:tab w:val="clear" w:pos="1134"/>
        </w:tabs>
        <w:suppressAutoHyphens w:val="0"/>
        <w:kinsoku w:val="0"/>
        <w:overflowPunct w:val="0"/>
        <w:snapToGrid w:val="0"/>
        <w:spacing w:beforeLines="50" w:before="120"/>
        <w:jc w:val="center"/>
        <w:rPr>
          <w:rFonts w:eastAsia="DFKai-SB"/>
          <w:b/>
        </w:rPr>
      </w:pPr>
      <w:r>
        <w:rPr>
          <w:rFonts w:eastAsia="DFKai-SB"/>
          <w:b/>
          <w:noProof/>
        </w:rPr>
        <w:drawing>
          <wp:inline distT="0" distB="0" distL="0" distR="0" wp14:anchorId="22F5BEE0" wp14:editId="4ADBDB81">
            <wp:extent cx="4129488" cy="2160000"/>
            <wp:effectExtent l="0" t="0" r="4445" b="0"/>
            <wp:docPr id="6389856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9488" cy="2160000"/>
                    </a:xfrm>
                    <a:prstGeom prst="rect">
                      <a:avLst/>
                    </a:prstGeom>
                    <a:noFill/>
                    <a:ln>
                      <a:noFill/>
                    </a:ln>
                  </pic:spPr>
                </pic:pic>
              </a:graphicData>
            </a:graphic>
          </wp:inline>
        </w:drawing>
      </w:r>
    </w:p>
    <w:p w14:paraId="57AB9D66" w14:textId="2678FDBC" w:rsidR="005C3865" w:rsidRPr="005C3865" w:rsidRDefault="005C3865" w:rsidP="005C3865">
      <w:pPr>
        <w:pStyle w:val="ListParagraph"/>
        <w:kinsoku w:val="0"/>
        <w:overflowPunct w:val="0"/>
        <w:snapToGrid w:val="0"/>
        <w:spacing w:beforeLines="50" w:before="120"/>
        <w:ind w:left="0"/>
        <w:jc w:val="center"/>
        <w:rPr>
          <w:lang w:bidi="en-US"/>
        </w:rPr>
      </w:pPr>
      <w:r w:rsidRPr="005C3865">
        <w:rPr>
          <w:b/>
          <w:bCs/>
        </w:rPr>
        <w:t>Figure 1.</w:t>
      </w:r>
      <w:r w:rsidRPr="005C3865">
        <w:t xml:space="preserve"> Workflow of image normalization with relaxation algorithm</w:t>
      </w:r>
    </w:p>
    <w:p w14:paraId="45DEC99C" w14:textId="36B8D54C" w:rsidR="00A37E3F" w:rsidRPr="00514DE4" w:rsidRDefault="00A13C06" w:rsidP="00514DE4">
      <w:pPr>
        <w:widowControl w:val="0"/>
        <w:tabs>
          <w:tab w:val="clear" w:pos="1134"/>
        </w:tabs>
        <w:suppressAutoHyphens w:val="0"/>
        <w:kinsoku w:val="0"/>
        <w:overflowPunct w:val="0"/>
        <w:snapToGrid w:val="0"/>
        <w:spacing w:beforeLines="50" w:before="120"/>
        <w:rPr>
          <w:lang w:bidi="en-US"/>
        </w:rPr>
      </w:pPr>
      <w:r w:rsidRPr="00514DE4">
        <w:rPr>
          <w:lang w:bidi="en-US"/>
        </w:rPr>
        <w:t xml:space="preserve">Figure 1 illustrates the workflow of the proposed relaxation algorithm for multitemporal cross-sensor image normalization. There are </w:t>
      </w:r>
      <w:r w:rsidR="00DC4EE5" w:rsidRPr="00514DE4">
        <w:rPr>
          <w:lang w:bidi="en-US"/>
        </w:rPr>
        <w:t>three stages</w:t>
      </w:r>
      <w:r w:rsidRPr="00514DE4">
        <w:rPr>
          <w:lang w:bidi="en-US"/>
        </w:rPr>
        <w:t xml:space="preserve"> in this workflow, the first </w:t>
      </w:r>
      <w:r w:rsidR="00DC4EE5" w:rsidRPr="00514DE4">
        <w:rPr>
          <w:lang w:bidi="en-US"/>
        </w:rPr>
        <w:t>stage</w:t>
      </w:r>
      <w:r w:rsidRPr="00514DE4">
        <w:rPr>
          <w:lang w:bidi="en-US"/>
        </w:rPr>
        <w:t xml:space="preserve"> is image preparation.</w:t>
      </w:r>
      <w:r w:rsidR="00DC4EE5" w:rsidRPr="00514DE4">
        <w:rPr>
          <w:lang w:bidi="en-US"/>
        </w:rPr>
        <w:t xml:space="preserve"> At this stage we prepare all </w:t>
      </w:r>
      <w:r w:rsidR="00514DE4" w:rsidRPr="00514DE4">
        <w:rPr>
          <w:lang w:bidi="en-US"/>
        </w:rPr>
        <w:t>suitable images for further processing. After collecting all the satellite images at the specific location, we select the region of interest (ROI) to guarantee uniformity in terms of area and object perspectives across the images.</w:t>
      </w:r>
      <w:r w:rsidR="00664D3E">
        <w:rPr>
          <w:lang w:bidi="en-US"/>
        </w:rPr>
        <w:t xml:space="preserve"> </w:t>
      </w:r>
      <w:r w:rsidR="00636AAC" w:rsidRPr="00636AAC">
        <w:rPr>
          <w:lang w:bidi="en-US"/>
        </w:rPr>
        <w:t>Subsequently, image resampling is applied, involving the reduction of Sentinel 2 images' spatial resolution to 30 meters.</w:t>
      </w:r>
      <w:r w:rsidR="00664D3E" w:rsidRPr="001E77CF">
        <w:rPr>
          <w:lang w:bidi="en-US"/>
        </w:rPr>
        <w:t xml:space="preserve"> This step to ensure compatibility with Landsat 8 images, which have a lower spatial resolution.</w:t>
      </w:r>
      <w:r w:rsidR="00636AAC">
        <w:rPr>
          <w:lang w:bidi="en-US"/>
        </w:rPr>
        <w:t xml:space="preserve"> Finally, the image preparation stage is ended with pixel-aligned image cube, where the images are aligned according to their pixels.</w:t>
      </w:r>
      <w:r w:rsidR="00A37E3F">
        <w:rPr>
          <w:lang w:bidi="en-US"/>
        </w:rPr>
        <w:t xml:space="preserve"> The second stage is relaxation algorithm where this stage consists of two main steps, PIF extraction and image normalization. </w:t>
      </w:r>
      <w:r w:rsidR="00A37E3F" w:rsidRPr="00A37E3F">
        <w:rPr>
          <w:lang w:bidi="en-US"/>
        </w:rPr>
        <w:t>Each of these steps is described in detail below.</w:t>
      </w:r>
      <w:r w:rsidR="00A37E3F">
        <w:rPr>
          <w:lang w:bidi="en-US"/>
        </w:rPr>
        <w:t xml:space="preserve"> </w:t>
      </w:r>
      <w:r w:rsidR="00A37E3F" w:rsidRPr="00A37E3F">
        <w:rPr>
          <w:lang w:bidi="en-US"/>
        </w:rPr>
        <w:t>Finally, the last stage is cube alignments where all normalized images are aligned locally and globally to create a global normalized image cube.</w:t>
      </w:r>
    </w:p>
    <w:p w14:paraId="3A8E237D" w14:textId="48CEB541" w:rsidR="00A13C06" w:rsidRDefault="00607C96" w:rsidP="00607C96">
      <w:pPr>
        <w:pStyle w:val="ListParagraph"/>
        <w:widowControl w:val="0"/>
        <w:numPr>
          <w:ilvl w:val="0"/>
          <w:numId w:val="5"/>
        </w:numPr>
        <w:tabs>
          <w:tab w:val="clear" w:pos="1134"/>
        </w:tabs>
        <w:suppressAutoHyphens w:val="0"/>
        <w:kinsoku w:val="0"/>
        <w:overflowPunct w:val="0"/>
        <w:snapToGrid w:val="0"/>
        <w:spacing w:beforeLines="50" w:before="120"/>
        <w:rPr>
          <w:rFonts w:eastAsia="DFKai-SB"/>
          <w:b/>
        </w:rPr>
      </w:pPr>
      <w:r>
        <w:rPr>
          <w:rFonts w:eastAsia="DFKai-SB"/>
          <w:b/>
        </w:rPr>
        <w:t>PIF Extraction</w:t>
      </w:r>
    </w:p>
    <w:p w14:paraId="3B367A54" w14:textId="381616F3" w:rsidR="00AB1EE5" w:rsidRDefault="00AB1EE5" w:rsidP="00AB1EE5">
      <w:pPr>
        <w:widowControl w:val="0"/>
        <w:tabs>
          <w:tab w:val="clear" w:pos="1134"/>
        </w:tabs>
        <w:suppressAutoHyphens w:val="0"/>
        <w:kinsoku w:val="0"/>
        <w:overflowPunct w:val="0"/>
        <w:snapToGrid w:val="0"/>
        <w:spacing w:beforeLines="50" w:before="120"/>
        <w:rPr>
          <w:lang w:bidi="en-US"/>
        </w:rPr>
      </w:pPr>
      <w:r w:rsidRPr="00AB1EE5">
        <w:rPr>
          <w:lang w:bidi="en-US"/>
        </w:rPr>
        <w:t>Generally, P</w:t>
      </w:r>
      <w:r w:rsidR="007E009D">
        <w:rPr>
          <w:lang w:bidi="en-US"/>
        </w:rPr>
        <w:t xml:space="preserve">seudo Invariant </w:t>
      </w:r>
      <w:r w:rsidRPr="00AB1EE5">
        <w:rPr>
          <w:lang w:bidi="en-US"/>
        </w:rPr>
        <w:t>F</w:t>
      </w:r>
      <w:r w:rsidR="007E009D">
        <w:rPr>
          <w:lang w:bidi="en-US"/>
        </w:rPr>
        <w:t>eature</w:t>
      </w:r>
      <w:r w:rsidRPr="00AB1EE5">
        <w:rPr>
          <w:lang w:bidi="en-US"/>
        </w:rPr>
        <w:t>s</w:t>
      </w:r>
      <w:r w:rsidR="007E009D">
        <w:rPr>
          <w:lang w:bidi="en-US"/>
        </w:rPr>
        <w:t xml:space="preserve"> (PIFs)</w:t>
      </w:r>
      <w:r w:rsidR="00D0243C">
        <w:rPr>
          <w:lang w:bidi="en-US"/>
        </w:rPr>
        <w:t xml:space="preserve"> </w:t>
      </w:r>
      <w:r w:rsidR="00D0243C" w:rsidRPr="00D0243C">
        <w:rPr>
          <w:lang w:bidi="en-US"/>
        </w:rPr>
        <w:t xml:space="preserve">denote </w:t>
      </w:r>
      <w:r w:rsidR="00D0243C" w:rsidRPr="00AB1EE5">
        <w:rPr>
          <w:lang w:bidi="en-US"/>
        </w:rPr>
        <w:t xml:space="preserve">Earth's surface </w:t>
      </w:r>
      <w:r w:rsidR="00D0243C" w:rsidRPr="00D0243C">
        <w:rPr>
          <w:lang w:bidi="en-US"/>
        </w:rPr>
        <w:t xml:space="preserve">attributes that exhibit relatively consistent </w:t>
      </w:r>
      <w:r w:rsidRPr="00AB1EE5">
        <w:rPr>
          <w:lang w:bidi="en-US"/>
        </w:rPr>
        <w:t>over time, and they can be used to normalize remote sensing data</w:t>
      </w:r>
      <w:r w:rsidR="00C745D1">
        <w:rPr>
          <w:lang w:bidi="en-US"/>
        </w:rPr>
        <w:t xml:space="preserve"> </w:t>
      </w:r>
      <w:r w:rsidR="00C745D1">
        <w:rPr>
          <w:lang w:bidi="en-US"/>
        </w:rPr>
        <w:fldChar w:fldCharType="begin"/>
      </w:r>
      <w:r w:rsidR="00C745D1">
        <w:rPr>
          <w:lang w:bidi="en-US"/>
        </w:rPr>
        <w:instrText xml:space="preserve"> ADDIN ZOTERO_ITEM CSL_CITATION {"citationID":"qZ6VwDZ6","properties":{"formattedCitation":"(Lin et al., 2019; Rayegani et al., 2021)","plainCitation":"(Lin et al., 2019; Rayegani et al., 2021)","noteIndex":0},"citationItems":[{"id":14,"uris":["http://zotero.org/users/local/WcktKtYd/items/PFZRQE3Q"],"itemData":{"id":14,"type":"article-journal","abstract":"Pseudoinvariant features (PIFs) are ground objects with invariant or near-invariant reﬂectance during data acquisition. The extraction of PIFs from optical satellite images generally plays a crucial role in relative radiometric normalization (RRN) and landcover change detection. Previous studies extract PIFs from bitemporal images while can generally obtain satisfactory results. However, they do not fully consider the problem of inconsistent PIF selection caused by performing pairwise PIF selection on more than two images. To decrease this inconsistency problem, a novel method called multitemporal and multivariate alteration detection (MMAD) is proposed. This method is based on a weighted generalized canonical correlation analysis, which solves canonical coefﬁcients for multivariable and multitemporal data, thereby resulting in consistent PIF selection and RRN. In addition, a new weighting scheme based on pixel similarity, image quality, and temporal coherence is introduced into MMAD to reduce the sensitivity of PIF selection to landcover changes and to stably distinguish PIFs from non-PIFs. Qualitative and quantitative analyses of several multitemporal images acquired by Satellite Pour l’Observation de la Terre 5 are conducted to evaluate the proposed method. Experimental results demonstrate the superiority of the proposed method over related methods in terms of extracted PIF quality and radiometric consistency, particularly for image sequences with considerable landcover changes.","container-title":"IEEE Geoscience and Remote Sensing Letters","ISSN":"1545-598X, 1558-0571","issue":"9","journalAbbreviation":"IEEE Geosci. Remote Sensing Lett.","language":"en","page":"1353-1357","source":"DOI.org (Crossref)","title":"Pseudoinvariant Feature Selection Using Multitemporal MAD for Optical Satellite Images","volume":"16","author":[{"family":"Lin","given":"Bo-Yi"},{"family":"Wang","given":"Zhi-Jia"},{"family":"Syariz","given":"Muhammad Aldila"},{"family":"Denaro","given":"Lino Garda"},{"family":"Lin","given":"Chao-Hung"}],"issued":{"date-parts":[["2019",9]]}}},{"id":124,"uris":["http://zotero.org/users/local/WcktKtYd/items/HKRGHS6V"],"itemData":{"id":124,"type":"article-journal","abstract":"The radiometric normalization using pseudo-invariant features (PIFs) is one of the best methods of image-based atmospheric correction. However, one of the main challenges of this approach is the correct selection of PIFs. So far many efforts have been made to automate radiometric correction using PIFs, although the capability of all these automated methods has been proven in various studies, their application requires intermediate to advanced statistical and computational knowledge and their application is beyond the reach of most conventional remote sensing users. Therefore, in this research, a straightforward simple method is proposed based on the definition of PIFs that automatically identifies these areas and uses them on a regression procedure for automatic normalization. The study area is Hara Protection Area (the Hara international wetland), which has sub-tropical climate and due to surface homogeneity of its mangrove forests can be used as a pilot for natural, and homogeneous ecosystems such as forested areas. To create an automatic PIFs extraction in this area, initially, we masked areas that should not be in the PIFs by applying some thresholds. At this stage, water, vegetation and mountainous areas were filtered. Then, the radiometric resolution of the two different sensor images was identical, and using the differential histogram shape of the two images, unvaried areas were extracted. To validate the accuracy of the proposed method, absolute radiometric correction using atmospheric and topographic correction (ATCOR), fast line-of-sight atmospheric analysis of hypercubes (FLAASH) and atmospheric correction (ATMOSC) methods, and relative radiometric correction using both empirical line calibration method and dark object subtraction method and automatic radiometric correction using QUick atmospheric correction (QUAC) and autonomous atmospheric correction (IMAGINE AAIC) were applied on the data. The output of all atmospheric correction methods and the proposed method was applied in the image algebra change detection in the form of a difference and with a threshold of twice the standard deviation from the mean to be checked by 219 points. The results of validation and qualitative studies of the histogram comparisons proved the proper functioning of the proposed method (κ greater than 0.8), and using cross tables, the performance of the proposed method is similar to that of the empirical line calibration method (more than 76%). Finally, a few unique features in the current research proposal, including simplicity, automation, negligible systematic error, the possibility of using in a biomarker degradation warning system, the independence on the type of sensor used, distinguish it from other radiometric correction methods.","container-title":"Modeling Earth Systems and Environment","DOI":"10.1007/s40808-020-00905-8","ISSN":"2363-6203, 2363-6211","issue":"3","journalAbbreviation":"Model. Earth Syst. Environ.","language":"en","page":"1769-1781","source":"DOI.org (Crossref)","title":"A simple model for PIFs extraction at digital change detection approach","volume":"7","author":[{"family":"Rayegani","given":"Behzad"},{"family":"Barati","given":"Susan"},{"family":"Sarkheil","given":"Hamid"}],"issued":{"date-parts":[["2021",9]]}}}],"schema":"https://github.com/citation-style-language/schema/raw/master/csl-citation.json"} </w:instrText>
      </w:r>
      <w:r w:rsidR="00C745D1">
        <w:rPr>
          <w:lang w:bidi="en-US"/>
        </w:rPr>
        <w:fldChar w:fldCharType="separate"/>
      </w:r>
      <w:r w:rsidR="00C745D1" w:rsidRPr="00C745D1">
        <w:t>(Lin et al., 2019; Rayegani et al., 2021)</w:t>
      </w:r>
      <w:r w:rsidR="00C745D1">
        <w:rPr>
          <w:lang w:bidi="en-US"/>
        </w:rPr>
        <w:fldChar w:fldCharType="end"/>
      </w:r>
      <w:r>
        <w:rPr>
          <w:lang w:bidi="en-US"/>
        </w:rPr>
        <w:t xml:space="preserve">. </w:t>
      </w:r>
      <w:r w:rsidRPr="00AB1EE5">
        <w:rPr>
          <w:lang w:bidi="en-US"/>
        </w:rPr>
        <w:t xml:space="preserve">Examples of PIFs </w:t>
      </w:r>
      <w:r w:rsidR="00D0243C" w:rsidRPr="00D0243C">
        <w:rPr>
          <w:lang w:bidi="en-US"/>
        </w:rPr>
        <w:t>urban regions, road networks, and barren terrain, all of which maintain consistent surface reflectance values across time.</w:t>
      </w:r>
      <w:r w:rsidRPr="00AB1EE5">
        <w:rPr>
          <w:lang w:bidi="en-US"/>
        </w:rPr>
        <w:t xml:space="preserve"> One of the most widely used methods PIFs selection using Iteratively Reweighted Multivariate Alteration Detection (IR-MAD)</w:t>
      </w:r>
      <w:r w:rsidR="00C745D1">
        <w:rPr>
          <w:lang w:bidi="en-US"/>
        </w:rPr>
        <w:fldChar w:fldCharType="begin"/>
      </w:r>
      <w:r w:rsidR="00C745D1">
        <w:rPr>
          <w:lang w:bidi="en-US"/>
        </w:rPr>
        <w:instrText xml:space="preserve"> ADDIN ZOTERO_ITEM CSL_CITATION {"citationID":"oPC1z4AG","properties":{"formattedCitation":"(Nielsen, 2007)","plainCitation":"(Nielsen, 2007)","noteIndex":0},"citationItems":[{"id":15,"uris":["http://zotero.org/users/local/WcktKtYd/items/G88ZDYIB"],"itemData":{"id":15,"type":"article-journal","abstract":"This paper describes new extensions to the previously published multivariate alteration detection (MAD) method for change detection in bi-temporal, multi- and hypervariate data such as remote sensing imagery. Much like boosting methods often applied in data mining work, the iteratively reweighted (IR) MAD method in a series of iterations places increasing focus on “difﬁcult” observations, here observations whose change status over time is uncertain. The MAD method is based on the established technique of canonical correlation analysis: for the multivariate data acquired at two points in time and covering the same geographical region, we calculate the canonical variates and subtract them from each other. These orthogonal differences contain maximum information on joint change in all variables (spectral bands). The change detected in this fashion is invariant to separate linear (afﬁne) transformations in the originally measured variables at the two points in time, such as 1) changes in gain and offset in the measuring device used to acquire the data, 2) data normalization or calibration schemes that are linear (afﬁne) in the gray values of the original variables, or 3) orthogonal or other afﬁne transformations, such as principal component (PC) or maximum autocorrelation factor (MAF) transformations. The IR-MAD method ﬁrst calculates ordinary canonical and original MAD variates. In the following iterations we apply different weights to the observations, large weights being assigned to observations that show little change, i.e., for which the sum of squared, standardized MAD variates is small, and small weights being assigned to observations for which the sum is large. Like the original MAD method, the iterative extension is invariant to linear (afﬁne) transformations of the original variables. To stabilize solutions to the (IR-)MAD problem, some form of regularization may be needed. This is especially useful for work on hyperspectral data. This paper describes ordinary two-set canonical correlation analysis, the MAD transformation, the iterative extension, and three regularization schemes. A simple case with real Landsat Thematic Mapper (TM) data at one point in time and (partly) constructed data at the other point in time that demonstrates the superiority of the iterative scheme over the original MAD method is shown. Also, examples with SPOT High Resolution Visible data from an agricultural region in Kenya, and hyperspectral airborne HyMap data from a small rural area in southeastern Germany are given. The latter case demonstrates the need for regularization.","container-title":"IEEE Transactions on Image Processing","ISSN":"1057-7149","issue":"2","journalAbbreviation":"IEEE Trans. on Image Process.","language":"en","page":"463-478","source":"DOI.org (Crossref)","title":"The Regularized Iteratively Reweighted MAD Method for Change Detection in Multi- and Hyperspectral Data","volume":"16","author":[{"family":"Nielsen","given":"Allan Aasbjerg"}],"issued":{"date-parts":[["2007",2]]}}}],"schema":"https://github.com/citation-style-language/schema/raw/master/csl-citation.json"} </w:instrText>
      </w:r>
      <w:r w:rsidR="00C745D1">
        <w:rPr>
          <w:lang w:bidi="en-US"/>
        </w:rPr>
        <w:fldChar w:fldCharType="separate"/>
      </w:r>
      <w:r w:rsidR="00C745D1" w:rsidRPr="00C745D1">
        <w:t>(Nielsen, 2007)</w:t>
      </w:r>
      <w:r w:rsidR="00C745D1">
        <w:rPr>
          <w:lang w:bidi="en-US"/>
        </w:rPr>
        <w:fldChar w:fldCharType="end"/>
      </w:r>
      <w:r w:rsidRPr="00AB1EE5">
        <w:rPr>
          <w:lang w:bidi="en-US"/>
        </w:rPr>
        <w:t>.</w:t>
      </w:r>
    </w:p>
    <w:p w14:paraId="3B838D50" w14:textId="4CA7B78B" w:rsidR="00D0243C" w:rsidRPr="00AB1EE5" w:rsidRDefault="00D0243C" w:rsidP="00AB1EE5">
      <w:pPr>
        <w:widowControl w:val="0"/>
        <w:tabs>
          <w:tab w:val="clear" w:pos="1134"/>
        </w:tabs>
        <w:suppressAutoHyphens w:val="0"/>
        <w:kinsoku w:val="0"/>
        <w:overflowPunct w:val="0"/>
        <w:snapToGrid w:val="0"/>
        <w:spacing w:beforeLines="50" w:before="120"/>
        <w:rPr>
          <w:lang w:bidi="en-US"/>
        </w:rPr>
      </w:pPr>
      <w:r>
        <w:rPr>
          <w:lang w:bidi="en-US"/>
        </w:rPr>
        <w:t>The relaxation algorithm in this study utilizes the IR-MAD method to select the PIFs from paired images before we normalized the images. The IR-MAD method measures the degree of change or deviations between two or more spectral bands in paired image through the MAD statistic value</w:t>
      </w:r>
      <w:r w:rsidR="00C745D1">
        <w:rPr>
          <w:lang w:bidi="en-US"/>
        </w:rPr>
        <w:t xml:space="preserve"> </w:t>
      </w:r>
      <w:r w:rsidR="00C745D1">
        <w:rPr>
          <w:lang w:bidi="en-US"/>
        </w:rPr>
        <w:fldChar w:fldCharType="begin"/>
      </w:r>
      <w:r w:rsidR="00C745D1">
        <w:rPr>
          <w:lang w:bidi="en-US"/>
        </w:rPr>
        <w:instrText xml:space="preserve"> ADDIN ZOTERO_ITEM CSL_CITATION {"citationID":"Pi6FqC8k","properties":{"formattedCitation":"(Nielsen et al., 1998)","plainCitation":"(Nielsen et al., 1998)","noteIndex":0},"citationItems":[{"id":19,"uris":["http://zotero.org/users/local/WcktKtYd/items/VB4SL6UA"],"itemData":{"id":19,"type":"article-journal","container-title":"Remote Sensing of Environment","ISSN":"00344257","issue":"1","journalAbbreviation":"Remote Sensing of Environment","language":"en","page":"1-19","source":"DOI.org (Crossref)","title":"Multivariate Alteration Detection (MAD) and MAF Postprocessing in Multispectral, Bitemporal Image Data: New Approaches to Change Detection Studies","title-short":"Multivariate Alteration Detection (MAD) and MAF Postprocessing in Multispectral, Bitemporal Image Data","volume":"64","author":[{"family":"Nielsen","given":"Allan A."},{"family":"Conradsen","given":"Knut"},{"family":"Simpson","given":"James J."}],"issued":{"date-parts":[["1998",4]]}}}],"schema":"https://github.com/citation-style-language/schema/raw/master/csl-citation.json"} </w:instrText>
      </w:r>
      <w:r w:rsidR="00C745D1">
        <w:rPr>
          <w:lang w:bidi="en-US"/>
        </w:rPr>
        <w:fldChar w:fldCharType="separate"/>
      </w:r>
      <w:r w:rsidR="00C745D1" w:rsidRPr="00C745D1">
        <w:t>(Nielsen et al., 1998)</w:t>
      </w:r>
      <w:r w:rsidR="00C745D1">
        <w:rPr>
          <w:lang w:bidi="en-US"/>
        </w:rPr>
        <w:fldChar w:fldCharType="end"/>
      </w:r>
      <w:r>
        <w:rPr>
          <w:lang w:bidi="en-US"/>
        </w:rPr>
        <w:t xml:space="preserve">. </w:t>
      </w:r>
      <w:r w:rsidRPr="00D0243C">
        <w:rPr>
          <w:lang w:bidi="en-US"/>
        </w:rPr>
        <w:t>This statistic is computed based on the covariance matrix of the bands, capturing the relationships between the spectral values</w:t>
      </w:r>
      <w:r>
        <w:rPr>
          <w:lang w:bidi="en-US"/>
        </w:rPr>
        <w:t>. The firs</w:t>
      </w:r>
      <w:r w:rsidR="004E6305">
        <w:rPr>
          <w:lang w:bidi="en-US"/>
        </w:rPr>
        <w:t>t</w:t>
      </w:r>
      <w:r>
        <w:rPr>
          <w:lang w:bidi="en-US"/>
        </w:rPr>
        <w:t xml:space="preserve"> MAD component </w:t>
      </w:r>
      <w:r w:rsidR="004E6305">
        <w:rPr>
          <w:lang w:bidi="en-US"/>
        </w:rPr>
        <w:t xml:space="preserve">describes the highest deviations between the spectral bands, while the last MAD component describes the lowest deviations between them. Subsequently, pixels with low deviations will be remark as unchanged pixels or PIFs. </w:t>
      </w:r>
      <w:r w:rsidR="004E6305" w:rsidRPr="004E6305">
        <w:rPr>
          <w:lang w:bidi="en-US"/>
        </w:rPr>
        <w:t>To enhance the selection of pseudo-invariant features, the IR-MAD method incorporates an iterative reweighting process. This process assigns weights to the spectral bands based on their contributions to the MAD statistic. Through multiple iterations, the weights are updated, allowing the method to adaptively identify and prioritize the most reliable pseudo-invariant feature selection.</w:t>
      </w:r>
    </w:p>
    <w:p w14:paraId="208FCA73" w14:textId="6F401C15" w:rsidR="00607C96" w:rsidRDefault="00607C96" w:rsidP="00607C96">
      <w:pPr>
        <w:pStyle w:val="ListParagraph"/>
        <w:widowControl w:val="0"/>
        <w:numPr>
          <w:ilvl w:val="0"/>
          <w:numId w:val="5"/>
        </w:numPr>
        <w:tabs>
          <w:tab w:val="clear" w:pos="1134"/>
        </w:tabs>
        <w:suppressAutoHyphens w:val="0"/>
        <w:kinsoku w:val="0"/>
        <w:overflowPunct w:val="0"/>
        <w:snapToGrid w:val="0"/>
        <w:spacing w:beforeLines="50" w:before="120"/>
        <w:rPr>
          <w:rFonts w:eastAsia="DFKai-SB"/>
          <w:b/>
        </w:rPr>
      </w:pPr>
      <w:r>
        <w:rPr>
          <w:rFonts w:eastAsia="DFKai-SB"/>
          <w:b/>
        </w:rPr>
        <w:t xml:space="preserve">Image Normalization </w:t>
      </w:r>
    </w:p>
    <w:p w14:paraId="18F832AF" w14:textId="3F940B9B" w:rsidR="00900B5C" w:rsidRPr="00900B5C" w:rsidRDefault="00E91E59" w:rsidP="00900B5C">
      <w:pPr>
        <w:kinsoku w:val="0"/>
        <w:overflowPunct w:val="0"/>
        <w:snapToGrid w:val="0"/>
        <w:spacing w:beforeLines="50" w:before="120"/>
        <w:rPr>
          <w:lang w:bidi="en-US"/>
        </w:rPr>
      </w:pPr>
      <w:r w:rsidRPr="00E91E59">
        <w:rPr>
          <w:lang w:bidi="en-US"/>
        </w:rPr>
        <w:t>The subsequent step is image normalization right after the selection of PIFs is successfully executed</w:t>
      </w:r>
      <w:r w:rsidR="00900B5C" w:rsidRPr="00900B5C">
        <w:rPr>
          <w:lang w:bidi="en-US"/>
        </w:rPr>
        <w:t xml:space="preserve">. This study applied the regression model </w:t>
      </w:r>
      <w:r>
        <w:rPr>
          <w:lang w:bidi="en-US"/>
        </w:rPr>
        <w:t>that written as</w:t>
      </w:r>
      <w:r w:rsidR="00900B5C" w:rsidRPr="00900B5C">
        <w:rPr>
          <w:lang w:bidi="en-US"/>
        </w:rPr>
        <w:t xml:space="preserve"> Eq. (1) to transform the radiometric condition of the target image (image </w:t>
      </w:r>
      <m:oMath>
        <m:sSub>
          <m:sSubPr>
            <m:ctrlPr>
              <w:rPr>
                <w:rFonts w:ascii="Cambria Math" w:hAnsi="Cambria Math"/>
              </w:rPr>
            </m:ctrlPr>
          </m:sSubPr>
          <m:e>
            <m:r>
              <w:rPr>
                <w:rFonts w:ascii="Cambria Math" w:hAnsi="Cambria Math"/>
              </w:rPr>
              <m:t>S</m:t>
            </m:r>
          </m:e>
          <m:sub>
            <m:r>
              <w:rPr>
                <w:rFonts w:ascii="Cambria Math" w:hAnsi="Cambria Math"/>
              </w:rPr>
              <m:t>n</m:t>
            </m:r>
          </m:sub>
        </m:sSub>
      </m:oMath>
      <w:r w:rsidR="00900B5C" w:rsidRPr="00900B5C">
        <w:rPr>
          <w:lang w:bidi="en-US"/>
        </w:rPr>
        <w:t xml:space="preserve">) into the radiometric condition of the reference image (image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00900B5C" w:rsidRPr="00900B5C">
        <w:rPr>
          <w:lang w:bidi="en-US"/>
        </w:rPr>
        <w:t>)</w:t>
      </w:r>
      <w:r w:rsidR="00C745D1">
        <w:rPr>
          <w:lang w:bidi="en-US"/>
        </w:rPr>
        <w:t xml:space="preserve"> </w:t>
      </w:r>
      <w:r w:rsidR="00C745D1">
        <w:rPr>
          <w:lang w:bidi="en-US"/>
        </w:rPr>
        <w:fldChar w:fldCharType="begin"/>
      </w:r>
      <w:r w:rsidR="002C434C">
        <w:rPr>
          <w:lang w:bidi="en-US"/>
        </w:rPr>
        <w:instrText xml:space="preserve"> ADDIN ZOTERO_ITEM CSL_CITATION {"citationID":"X9OHyI97","properties":{"formattedCitation":"(Denaro &amp; Lin, 2019; Sadeghi et al., 2017)","plainCitation":"(Denaro &amp; Lin, 2019; Sadeghi et al., 2017)","noteIndex":0},"citationItems":[{"id":232,"uris":["http://zotero.org/users/local/WcktKtYd/items/N9XSD49Q"],"itemData":{"id":232,"type":"paper-conference","abstract":"Relative radiometric normalization (RRN) minimizes radiometric differences among images caused by inconsistencies of acquisition condition. In this study, a crosssensor RRN method is proposed for optical satellite images from Landsat 8 OLI (L8) and Landsat 7 ETM+ (L7) sensors. The data from these two sensors have different pixel depths. Therefore, a rescaling on the radiometry resolution is performed in the preprocessing. Then, multivariate alteration detection (MAD) based on kernel canonical correlation analysis (KCCA) is adopted, which is called KCCA-based MAD, to select pseudo-invariant features (PIFs). The process of RRN is performed by using polynomial regression with Gaussian weighted regression. In experiments, qualitative and quantitative analyses on images from different sensors are conducted. The experimental result demonstrates the superiority of the proposed nonlinear transformation, in terms of regression quality and radiometric consistency, compared with RRN using linear regression.","container-title":"IGARSS 2019 - 2019 IEEE International Geoscience and Remote Sensing Symposium","event-place":"Yokohama, Japan","event-title":"IGARSS 2019 - 2019 IEEE International Geoscience and Remote Sensing Symposium","ISBN":"978-1-5386-9154-0","language":"en","page":"1967-1969","publisher":"IEEE","publisher-place":"Yokohama, Japan","source":"DOI.org (Crossref)","title":"Nonlinear Relative Radiometric Normalization For Landsat 7 and Landsat 8 Imagery","URL":"https://ieeexplore.ieee.org/document/8900651/","author":[{"family":"Denaro","given":"Lino Garda"},{"family":"Lin","given":"Chao-Hung"}],"accessed":{"date-parts":[["2021",9,27]]},"issued":{"date-parts":[["2019",7]]}}},{"id":340,"uris":["http://zotero.org/users/local/WcktKtYd/items/AUDTN9K7"],"itemData":{"id":340,"type":"article-journal","container-title":"Computational and Applied Mathematics","ISSN":"0101-8205, 1807-0302","issue":"2","journalAbbreviation":"Comp. Appl. Math.","language":"en","page":"825-842","source":"DOI.org (Crossref)","title":"A new automatic regression-based approach for relative radiometric normalization of multitemporal satellite imagery","volume":"36","author":[{"family":"Sadeghi","given":"Vahid"},{"family":"Ahmadi","given":"Farshid Farnood"},{"family":"Ebadi","given":"Hamid"}],"issued":{"date-parts":[["2017",6]]}}}],"schema":"https://github.com/citation-style-language/schema/raw/master/csl-citation.json"} </w:instrText>
      </w:r>
      <w:r w:rsidR="00C745D1">
        <w:rPr>
          <w:lang w:bidi="en-US"/>
        </w:rPr>
        <w:fldChar w:fldCharType="separate"/>
      </w:r>
      <w:r w:rsidR="002C434C" w:rsidRPr="002C434C">
        <w:t>(Denaro &amp; Lin, 2019; Sadeghi et al., 2017)</w:t>
      </w:r>
      <w:r w:rsidR="00C745D1">
        <w:rPr>
          <w:lang w:bidi="en-US"/>
        </w:rPr>
        <w:fldChar w:fldCharType="end"/>
      </w:r>
      <w:r w:rsidR="00900B5C" w:rsidRPr="00900B5C">
        <w:rPr>
          <w:lang w:bidi="en-US"/>
        </w:rPr>
        <w:t>. This regression utilizes PIFs from previous stage to remove the pixels that are constantly changing such as clouds, water, and even vegetation in some cases.</w:t>
      </w:r>
    </w:p>
    <w:tbl>
      <w:tblPr>
        <w:tblW w:w="7859" w:type="dxa"/>
        <w:tblInd w:w="1134" w:type="dxa"/>
        <w:tblCellMar>
          <w:left w:w="0" w:type="dxa"/>
          <w:right w:w="0" w:type="dxa"/>
        </w:tblCellMar>
        <w:tblLook w:val="04A0" w:firstRow="1" w:lastRow="0" w:firstColumn="1" w:lastColumn="0" w:noHBand="0" w:noVBand="1"/>
      </w:tblPr>
      <w:tblGrid>
        <w:gridCol w:w="7428"/>
        <w:gridCol w:w="431"/>
      </w:tblGrid>
      <w:tr w:rsidR="00900B5C" w:rsidRPr="00900B5C" w14:paraId="34DBF105" w14:textId="77777777" w:rsidTr="002748DA">
        <w:tc>
          <w:tcPr>
            <w:tcW w:w="7428" w:type="dxa"/>
          </w:tcPr>
          <w:p w14:paraId="04BD3540" w14:textId="77777777" w:rsidR="00900B5C" w:rsidRPr="00900B5C" w:rsidRDefault="00000000" w:rsidP="002748DA">
            <w:pPr>
              <w:pStyle w:val="MDPI39equation"/>
              <w:spacing w:before="0" w:after="0"/>
              <w:ind w:left="0"/>
              <w:rPr>
                <w:rFonts w:ascii="Times New Roman" w:hAnsi="Times New Roman"/>
                <w:color w:val="auto"/>
                <w:szCs w:val="20"/>
              </w:rPr>
            </w:pPr>
            <m:oMath>
              <m:sSubSup>
                <m:sSubSupPr>
                  <m:ctrlPr>
                    <w:rPr>
                      <w:rFonts w:ascii="Cambria Math" w:eastAsia="Cambria Math" w:hAnsi="Cambria Math"/>
                      <w:i/>
                      <w:color w:val="auto"/>
                      <w:szCs w:val="20"/>
                    </w:rPr>
                  </m:ctrlPr>
                </m:sSubSupPr>
                <m:e>
                  <m:r>
                    <w:rPr>
                      <w:rFonts w:ascii="Cambria Math" w:eastAsia="Cambria Math" w:hAnsi="Cambria Math"/>
                      <w:color w:val="auto"/>
                      <w:szCs w:val="20"/>
                    </w:rPr>
                    <m:t>S</m:t>
                  </m:r>
                </m:e>
                <m:sub>
                  <m:r>
                    <w:rPr>
                      <w:rFonts w:ascii="Cambria Math" w:eastAsia="Cambria Math" w:hAnsi="Cambria Math"/>
                      <w:color w:val="auto"/>
                      <w:szCs w:val="20"/>
                    </w:rPr>
                    <m:t>n</m:t>
                  </m:r>
                </m:sub>
                <m:sup>
                  <m:r>
                    <w:rPr>
                      <w:rFonts w:ascii="Cambria Math" w:eastAsia="Cambria Math" w:hAnsi="Cambria Math"/>
                      <w:color w:val="auto"/>
                      <w:szCs w:val="20"/>
                    </w:rPr>
                    <m:t>'</m:t>
                  </m:r>
                </m:sup>
              </m:sSubSup>
              <m:r>
                <w:rPr>
                  <w:rFonts w:ascii="Cambria Math" w:eastAsia="Cambria Math" w:hAnsi="Cambria Math"/>
                  <w:color w:val="auto"/>
                  <w:szCs w:val="20"/>
                </w:rPr>
                <m:t>=</m:t>
              </m:r>
              <m:sSup>
                <m:sSupPr>
                  <m:ctrlPr>
                    <w:rPr>
                      <w:rFonts w:ascii="Cambria Math" w:eastAsia="Cambria Math" w:hAnsi="Cambria Math"/>
                      <w:color w:val="auto"/>
                      <w:szCs w:val="20"/>
                    </w:rPr>
                  </m:ctrlPr>
                </m:sSupPr>
                <m:e>
                  <m:r>
                    <w:rPr>
                      <w:rFonts w:ascii="Cambria Math" w:eastAsia="Cambria Math" w:hAnsi="Cambria Math"/>
                      <w:color w:val="auto"/>
                      <w:szCs w:val="20"/>
                    </w:rPr>
                    <m:t>α</m:t>
                  </m:r>
                </m:e>
                <m:sup>
                  <m:r>
                    <w:rPr>
                      <w:rFonts w:ascii="Cambria Math" w:eastAsia="Cambria Math" w:hAnsi="Cambria Math"/>
                      <w:color w:val="auto"/>
                      <w:szCs w:val="20"/>
                    </w:rPr>
                    <m:t>n→</m:t>
                  </m:r>
                  <m:r>
                    <m:rPr>
                      <m:sty m:val="p"/>
                    </m:rPr>
                    <w:rPr>
                      <w:rFonts w:ascii="Cambria Math" w:hAnsi="Cambria Math"/>
                      <w:color w:val="auto"/>
                      <w:szCs w:val="20"/>
                    </w:rPr>
                    <m:t>1</m:t>
                  </m:r>
                </m:sup>
              </m:sSup>
              <m:r>
                <w:rPr>
                  <w:rFonts w:ascii="Cambria Math" w:eastAsia="Cambria Math" w:hAnsi="Cambria Math"/>
                  <w:color w:val="auto"/>
                  <w:szCs w:val="20"/>
                </w:rPr>
                <m:t> </m:t>
              </m:r>
              <m:d>
                <m:dPr>
                  <m:ctrlPr>
                    <w:rPr>
                      <w:rFonts w:ascii="Cambria Math" w:eastAsia="Cambria Math" w:hAnsi="Cambria Math"/>
                      <w:i/>
                      <w:color w:val="auto"/>
                      <w:szCs w:val="20"/>
                    </w:rPr>
                  </m:ctrlPr>
                </m:dPr>
                <m:e>
                  <m:sSub>
                    <m:sSubPr>
                      <m:ctrlPr>
                        <w:rPr>
                          <w:rFonts w:ascii="Cambria Math" w:hAnsi="Cambria Math"/>
                          <w:color w:val="auto"/>
                          <w:szCs w:val="20"/>
                        </w:rPr>
                      </m:ctrlPr>
                    </m:sSubPr>
                    <m:e>
                      <m:r>
                        <w:rPr>
                          <w:rFonts w:ascii="Cambria Math" w:hAnsi="Cambria Math"/>
                          <w:color w:val="auto"/>
                          <w:szCs w:val="20"/>
                        </w:rPr>
                        <m:t>S</m:t>
                      </m:r>
                    </m:e>
                    <m:sub>
                      <m:r>
                        <w:rPr>
                          <w:rFonts w:ascii="Cambria Math" w:hAnsi="Cambria Math"/>
                          <w:color w:val="auto"/>
                          <w:szCs w:val="20"/>
                        </w:rPr>
                        <m:t>n</m:t>
                      </m:r>
                    </m:sub>
                  </m:sSub>
                </m:e>
              </m:d>
              <m:r>
                <w:rPr>
                  <w:rFonts w:ascii="Cambria Math" w:eastAsia="Cambria Math" w:hAnsi="Cambria Math"/>
                  <w:color w:val="auto"/>
                  <w:szCs w:val="20"/>
                </w:rPr>
                <m:t>+</m:t>
              </m:r>
              <m:sSup>
                <m:sSupPr>
                  <m:ctrlPr>
                    <w:rPr>
                      <w:rFonts w:ascii="Cambria Math" w:eastAsia="Cambria Math" w:hAnsi="Cambria Math"/>
                      <w:color w:val="auto"/>
                      <w:szCs w:val="20"/>
                    </w:rPr>
                  </m:ctrlPr>
                </m:sSupPr>
                <m:e>
                  <m:r>
                    <w:rPr>
                      <w:rFonts w:ascii="Cambria Math" w:eastAsia="Cambria Math" w:hAnsi="Cambria Math"/>
                      <w:color w:val="auto"/>
                      <w:szCs w:val="20"/>
                    </w:rPr>
                    <m:t>β</m:t>
                  </m:r>
                </m:e>
                <m:sup>
                  <m:r>
                    <m:rPr>
                      <m:sty m:val="p"/>
                    </m:rPr>
                    <w:rPr>
                      <w:rFonts w:ascii="Cambria Math" w:hAnsi="Cambria Math"/>
                      <w:color w:val="auto"/>
                      <w:szCs w:val="20"/>
                    </w:rPr>
                    <m:t>n</m:t>
                  </m:r>
                  <m:r>
                    <w:rPr>
                      <w:rFonts w:ascii="Cambria Math" w:eastAsia="Cambria Math" w:hAnsi="Cambria Math"/>
                      <w:color w:val="auto"/>
                      <w:szCs w:val="20"/>
                    </w:rPr>
                    <m:t>→</m:t>
                  </m:r>
                  <m:r>
                    <m:rPr>
                      <m:sty m:val="p"/>
                    </m:rPr>
                    <w:rPr>
                      <w:rFonts w:ascii="Cambria Math" w:hAnsi="Cambria Math"/>
                      <w:color w:val="auto"/>
                      <w:szCs w:val="20"/>
                    </w:rPr>
                    <m:t>1</m:t>
                  </m:r>
                </m:sup>
              </m:sSup>
              <m:r>
                <w:rPr>
                  <w:rFonts w:ascii="Cambria Math" w:hAnsi="Cambria Math"/>
                  <w:color w:val="auto"/>
                  <w:szCs w:val="20"/>
                </w:rPr>
                <m:t>,</m:t>
              </m:r>
            </m:oMath>
            <w:r w:rsidR="00900B5C" w:rsidRPr="00900B5C">
              <w:rPr>
                <w:rFonts w:ascii="Times New Roman" w:hAnsi="Times New Roman"/>
                <w:color w:val="auto"/>
                <w:szCs w:val="20"/>
              </w:rPr>
              <w:t xml:space="preserve"> </w:t>
            </w:r>
          </w:p>
        </w:tc>
        <w:tc>
          <w:tcPr>
            <w:tcW w:w="431" w:type="dxa"/>
            <w:vAlign w:val="center"/>
          </w:tcPr>
          <w:p w14:paraId="69B08B46" w14:textId="77777777" w:rsidR="00900B5C" w:rsidRPr="00900B5C" w:rsidRDefault="00900B5C" w:rsidP="002748DA">
            <w:pPr>
              <w:pStyle w:val="MDPI3aequationnumber"/>
              <w:spacing w:before="0" w:after="0" w:line="260" w:lineRule="atLeast"/>
              <w:jc w:val="center"/>
              <w:rPr>
                <w:rFonts w:ascii="Times New Roman" w:hAnsi="Times New Roman"/>
                <w:color w:val="auto"/>
                <w:szCs w:val="20"/>
              </w:rPr>
            </w:pPr>
            <w:r w:rsidRPr="00900B5C">
              <w:rPr>
                <w:rFonts w:ascii="Times New Roman" w:hAnsi="Times New Roman"/>
                <w:color w:val="auto"/>
                <w:szCs w:val="20"/>
              </w:rPr>
              <w:t>(1)</w:t>
            </w:r>
          </w:p>
        </w:tc>
      </w:tr>
    </w:tbl>
    <w:p w14:paraId="74BA1891" w14:textId="77777777" w:rsidR="00900B5C" w:rsidRPr="00900B5C" w:rsidRDefault="00900B5C" w:rsidP="00900B5C">
      <w:pPr>
        <w:kinsoku w:val="0"/>
        <w:overflowPunct w:val="0"/>
        <w:snapToGrid w:val="0"/>
        <w:spacing w:beforeLines="50" w:before="120"/>
        <w:rPr>
          <w:lang w:bidi="en-US"/>
        </w:rPr>
      </w:pPr>
      <w:r w:rsidRPr="00900B5C">
        <w:rPr>
          <w:lang w:bidi="en-US"/>
        </w:rPr>
        <w:t xml:space="preserve">where </w:t>
      </w:r>
      <m:oMath>
        <m:sSup>
          <m:sSupPr>
            <m:ctrlPr>
              <w:rPr>
                <w:rFonts w:ascii="Cambria Math" w:hAnsi="Cambria Math"/>
              </w:rPr>
            </m:ctrlPr>
          </m:sSupPr>
          <m:e>
            <m:r>
              <w:rPr>
                <w:rFonts w:ascii="Cambria Math" w:hAnsi="Cambria Math"/>
              </w:rPr>
              <m:t>α</m:t>
            </m:r>
          </m:e>
          <m:sup>
            <m:r>
              <w:rPr>
                <w:rFonts w:ascii="Cambria Math" w:hAnsi="Cambria Math"/>
              </w:rPr>
              <m:t>n</m:t>
            </m:r>
            <m:r>
              <m:rPr>
                <m:sty m:val="p"/>
              </m:rPr>
              <w:rPr>
                <w:rFonts w:ascii="Cambria Math" w:hAnsi="Cambria Math"/>
              </w:rPr>
              <m:t>→1</m:t>
            </m:r>
          </m:sup>
        </m:sSup>
        <m:r>
          <m:rPr>
            <m:sty m:val="p"/>
          </m:rPr>
          <w:rPr>
            <w:rFonts w:ascii="Cambria Math" w:hAnsi="Cambria Math"/>
          </w:rPr>
          <m:t> </m:t>
        </m:r>
      </m:oMath>
      <w:r w:rsidRPr="00900B5C">
        <w:rPr>
          <w:lang w:bidi="en-US"/>
        </w:rPr>
        <w:t xml:space="preserve"> and </w:t>
      </w:r>
      <m:oMath>
        <m:sSup>
          <m:sSupPr>
            <m:ctrlPr>
              <w:rPr>
                <w:rFonts w:ascii="Cambria Math" w:hAnsi="Cambria Math"/>
              </w:rPr>
            </m:ctrlPr>
          </m:sSupPr>
          <m:e>
            <m:r>
              <w:rPr>
                <w:rFonts w:ascii="Cambria Math" w:hAnsi="Cambria Math"/>
              </w:rPr>
              <m:t>β</m:t>
            </m:r>
          </m:e>
          <m:sup>
            <m:r>
              <w:rPr>
                <w:rFonts w:ascii="Cambria Math" w:hAnsi="Cambria Math"/>
              </w:rPr>
              <m:t>n</m:t>
            </m:r>
            <m:r>
              <m:rPr>
                <m:sty m:val="p"/>
              </m:rPr>
              <w:rPr>
                <w:rFonts w:ascii="Cambria Math" w:hAnsi="Cambria Math"/>
              </w:rPr>
              <m:t>→1</m:t>
            </m:r>
          </m:sup>
        </m:sSup>
      </m:oMath>
      <w:r w:rsidRPr="00900B5C">
        <w:rPr>
          <w:lang w:bidi="en-US"/>
        </w:rPr>
        <w:t xml:space="preserve"> are the slope and intercept of image </w:t>
      </w:r>
      <m:oMath>
        <m:sSub>
          <m:sSubPr>
            <m:ctrlPr>
              <w:rPr>
                <w:rFonts w:ascii="Cambria Math" w:hAnsi="Cambria Math"/>
              </w:rPr>
            </m:ctrlPr>
          </m:sSubPr>
          <m:e>
            <m:r>
              <w:rPr>
                <w:rFonts w:ascii="Cambria Math" w:hAnsi="Cambria Math"/>
              </w:rPr>
              <m:t>S</m:t>
            </m:r>
          </m:e>
          <m:sub>
            <m:r>
              <w:rPr>
                <w:rFonts w:ascii="Cambria Math" w:hAnsi="Cambria Math"/>
              </w:rPr>
              <m:t>n</m:t>
            </m:r>
          </m:sub>
        </m:sSub>
      </m:oMath>
      <w:r w:rsidRPr="00900B5C">
        <w:rPr>
          <w:lang w:bidi="en-US"/>
        </w:rPr>
        <w:t xml:space="preserve"> to image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Pr="00900B5C">
        <w:rPr>
          <w:lang w:bidi="en-US"/>
        </w:rPr>
        <w:t xml:space="preserve">, which is obtained from the following Eq. (2). In this equation, </w:t>
      </w:r>
      <m:oMath>
        <m:r>
          <w:rPr>
            <w:rFonts w:ascii="Cambria Math" w:hAnsi="Cambria Math"/>
          </w:rPr>
          <m:t>σ</m:t>
        </m:r>
        <m:r>
          <m:rPr>
            <m:sty m:val="p"/>
          </m:rPr>
          <w:rPr>
            <w:rFonts w:ascii="Cambria Math" w:hAnsi="Cambria Math"/>
          </w:rPr>
          <m:t>(</m:t>
        </m:r>
        <m:sSub>
          <m:sSubPr>
            <m:ctrlPr>
              <w:rPr>
                <w:rFonts w:ascii="Cambria Math" w:hAnsi="Cambria Math"/>
              </w:rPr>
            </m:ctrlPr>
          </m:sSubPr>
          <m:e>
            <m:r>
              <w:rPr>
                <w:rFonts w:ascii="Cambria Math" w:hAnsi="Cambria Math"/>
              </w:rPr>
              <m:t>PIF</m:t>
            </m:r>
          </m:e>
          <m:sub>
            <m:r>
              <w:rPr>
                <w:rFonts w:ascii="Cambria Math" w:hAnsi="Cambria Math"/>
              </w:rPr>
              <m:t>S</m:t>
            </m:r>
            <m:r>
              <m:rPr>
                <m:sty m:val="p"/>
              </m:rPr>
              <w:rPr>
                <w:rFonts w:ascii="Cambria Math" w:hAnsi="Cambria Math"/>
              </w:rPr>
              <m:t>1</m:t>
            </m:r>
          </m:sub>
        </m:sSub>
        <m:r>
          <m:rPr>
            <m:sty m:val="p"/>
          </m:rPr>
          <w:rPr>
            <w:rFonts w:ascii="Cambria Math" w:hAnsi="Cambria Math"/>
          </w:rPr>
          <m:t>)</m:t>
        </m:r>
      </m:oMath>
      <w:r w:rsidRPr="00900B5C">
        <w:rPr>
          <w:lang w:bidi="en-US"/>
        </w:rPr>
        <w:t xml:space="preserve"> and </w:t>
      </w:r>
      <m:oMath>
        <m:r>
          <w:rPr>
            <w:rFonts w:ascii="Cambria Math" w:hAnsi="Cambria Math"/>
          </w:rPr>
          <m:t>σ</m:t>
        </m:r>
        <m:r>
          <m:rPr>
            <m:sty m:val="p"/>
          </m:rPr>
          <w:rPr>
            <w:rFonts w:ascii="Cambria Math" w:hAnsi="Cambria Math"/>
          </w:rPr>
          <m:t>(</m:t>
        </m:r>
        <m:sSub>
          <m:sSubPr>
            <m:ctrlPr>
              <w:rPr>
                <w:rFonts w:ascii="Cambria Math" w:hAnsi="Cambria Math"/>
              </w:rPr>
            </m:ctrlPr>
          </m:sSubPr>
          <m:e>
            <m:r>
              <w:rPr>
                <w:rFonts w:ascii="Cambria Math" w:hAnsi="Cambria Math"/>
              </w:rPr>
              <m:t>PIF</m:t>
            </m:r>
          </m:e>
          <m:sub>
            <m:r>
              <w:rPr>
                <w:rFonts w:ascii="Cambria Math" w:hAnsi="Cambria Math"/>
              </w:rPr>
              <m:t>Sn</m:t>
            </m:r>
          </m:sub>
        </m:sSub>
        <m:r>
          <m:rPr>
            <m:sty m:val="p"/>
          </m:rPr>
          <w:rPr>
            <w:rFonts w:ascii="Cambria Math" w:hAnsi="Cambria Math"/>
          </w:rPr>
          <m:t>)</m:t>
        </m:r>
      </m:oMath>
      <w:r w:rsidRPr="00900B5C">
        <w:rPr>
          <w:lang w:bidi="en-US"/>
        </w:rPr>
        <w:t xml:space="preserve">  denote the standard deviation values from PIFs images of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Pr="00900B5C">
        <w:rPr>
          <w:lang w:bidi="en-US"/>
        </w:rPr>
        <w:t xml:space="preserve"> and </w:t>
      </w:r>
      <m:oMath>
        <m:sSub>
          <m:sSubPr>
            <m:ctrlPr>
              <w:rPr>
                <w:rFonts w:ascii="Cambria Math" w:hAnsi="Cambria Math"/>
              </w:rPr>
            </m:ctrlPr>
          </m:sSubPr>
          <m:e>
            <m:r>
              <w:rPr>
                <w:rFonts w:ascii="Cambria Math" w:hAnsi="Cambria Math"/>
              </w:rPr>
              <m:t>S</m:t>
            </m:r>
          </m:e>
          <m:sub>
            <m:r>
              <w:rPr>
                <w:rFonts w:ascii="Cambria Math" w:hAnsi="Cambria Math"/>
              </w:rPr>
              <m:t>n</m:t>
            </m:r>
          </m:sub>
        </m:sSub>
      </m:oMath>
      <w:r w:rsidRPr="00900B5C">
        <w:rPr>
          <w:lang w:bidi="en-US"/>
        </w:rPr>
        <w:t xml:space="preserve">. Then, </w:t>
      </w:r>
      <m:oMath>
        <m:bar>
          <m:barPr>
            <m:pos m:val="top"/>
            <m:ctrlPr>
              <w:rPr>
                <w:rFonts w:ascii="Cambria Math" w:hAnsi="Cambria Math"/>
              </w:rPr>
            </m:ctrlPr>
          </m:barPr>
          <m:e>
            <m:sSub>
              <m:sSubPr>
                <m:ctrlPr>
                  <w:rPr>
                    <w:rFonts w:ascii="Cambria Math" w:hAnsi="Cambria Math"/>
                  </w:rPr>
                </m:ctrlPr>
              </m:sSubPr>
              <m:e>
                <m:r>
                  <w:rPr>
                    <w:rFonts w:ascii="Cambria Math" w:hAnsi="Cambria Math"/>
                  </w:rPr>
                  <m:t>PIF</m:t>
                </m:r>
              </m:e>
              <m:sub>
                <m:r>
                  <w:rPr>
                    <w:rFonts w:ascii="Cambria Math" w:hAnsi="Cambria Math"/>
                  </w:rPr>
                  <m:t>S</m:t>
                </m:r>
                <m:r>
                  <m:rPr>
                    <m:sty m:val="p"/>
                  </m:rPr>
                  <w:rPr>
                    <w:rFonts w:ascii="Cambria Math" w:hAnsi="Cambria Math"/>
                  </w:rPr>
                  <m:t>1</m:t>
                </m:r>
              </m:sub>
            </m:sSub>
          </m:e>
        </m:bar>
      </m:oMath>
      <w:r w:rsidRPr="00900B5C">
        <w:rPr>
          <w:lang w:bidi="en-US"/>
        </w:rPr>
        <w:t xml:space="preserve"> and </w:t>
      </w:r>
      <m:oMath>
        <m:bar>
          <m:barPr>
            <m:pos m:val="top"/>
            <m:ctrlPr>
              <w:rPr>
                <w:rFonts w:ascii="Cambria Math" w:hAnsi="Cambria Math"/>
              </w:rPr>
            </m:ctrlPr>
          </m:barPr>
          <m:e>
            <m:sSub>
              <m:sSubPr>
                <m:ctrlPr>
                  <w:rPr>
                    <w:rFonts w:ascii="Cambria Math" w:hAnsi="Cambria Math"/>
                  </w:rPr>
                </m:ctrlPr>
              </m:sSubPr>
              <m:e>
                <m:r>
                  <w:rPr>
                    <w:rFonts w:ascii="Cambria Math" w:hAnsi="Cambria Math"/>
                  </w:rPr>
                  <m:t>PIF</m:t>
                </m:r>
              </m:e>
              <m:sub>
                <m:r>
                  <w:rPr>
                    <w:rFonts w:ascii="Cambria Math" w:hAnsi="Cambria Math"/>
                  </w:rPr>
                  <m:t>Sn</m:t>
                </m:r>
              </m:sub>
            </m:sSub>
          </m:e>
        </m:bar>
      </m:oMath>
      <w:r w:rsidRPr="00900B5C">
        <w:rPr>
          <w:lang w:bidi="en-US"/>
        </w:rPr>
        <w:t xml:space="preserve"> represent the mean value of PIF images of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Pr="00900B5C">
        <w:rPr>
          <w:lang w:bidi="en-US"/>
        </w:rPr>
        <w:t xml:space="preserve"> and </w:t>
      </w:r>
      <m:oMath>
        <m:sSub>
          <m:sSubPr>
            <m:ctrlPr>
              <w:rPr>
                <w:rFonts w:ascii="Cambria Math" w:hAnsi="Cambria Math"/>
              </w:rPr>
            </m:ctrlPr>
          </m:sSubPr>
          <m:e>
            <m:r>
              <w:rPr>
                <w:rFonts w:ascii="Cambria Math" w:hAnsi="Cambria Math"/>
              </w:rPr>
              <m:t>S</m:t>
            </m:r>
          </m:e>
          <m:sub>
            <m:r>
              <w:rPr>
                <w:rFonts w:ascii="Cambria Math" w:hAnsi="Cambria Math"/>
              </w:rPr>
              <m:t>n</m:t>
            </m:r>
          </m:sub>
        </m:sSub>
      </m:oMath>
      <w:r w:rsidRPr="00900B5C">
        <w:rPr>
          <w:lang w:bidi="en-US"/>
        </w:rPr>
        <w:t xml:space="preserve"> respectively.</w:t>
      </w:r>
    </w:p>
    <w:tbl>
      <w:tblPr>
        <w:tblW w:w="7859" w:type="dxa"/>
        <w:tblInd w:w="1134" w:type="dxa"/>
        <w:tblCellMar>
          <w:left w:w="0" w:type="dxa"/>
          <w:right w:w="0" w:type="dxa"/>
        </w:tblCellMar>
        <w:tblLook w:val="04A0" w:firstRow="1" w:lastRow="0" w:firstColumn="1" w:lastColumn="0" w:noHBand="0" w:noVBand="1"/>
      </w:tblPr>
      <w:tblGrid>
        <w:gridCol w:w="7428"/>
        <w:gridCol w:w="431"/>
      </w:tblGrid>
      <w:tr w:rsidR="00900B5C" w:rsidRPr="00900B5C" w14:paraId="5C761680" w14:textId="77777777" w:rsidTr="002748DA">
        <w:tc>
          <w:tcPr>
            <w:tcW w:w="7428" w:type="dxa"/>
          </w:tcPr>
          <w:p w14:paraId="224D6505" w14:textId="77777777" w:rsidR="00900B5C" w:rsidRPr="00900B5C" w:rsidRDefault="00000000" w:rsidP="002748DA">
            <w:pPr>
              <w:pStyle w:val="MDPI39equation"/>
              <w:spacing w:before="0" w:after="0"/>
              <w:ind w:left="0"/>
              <w:rPr>
                <w:rFonts w:ascii="Times New Roman" w:hAnsi="Times New Roman"/>
                <w:color w:val="auto"/>
                <w:szCs w:val="20"/>
              </w:rPr>
            </w:pPr>
            <m:oMath>
              <m:sSup>
                <m:sSupPr>
                  <m:ctrlPr>
                    <w:rPr>
                      <w:rFonts w:ascii="Cambria Math" w:eastAsia="Cambria Math" w:hAnsi="Cambria Math"/>
                      <w:color w:val="auto"/>
                      <w:szCs w:val="20"/>
                    </w:rPr>
                  </m:ctrlPr>
                </m:sSupPr>
                <m:e>
                  <m:r>
                    <w:rPr>
                      <w:rFonts w:ascii="Cambria Math" w:eastAsia="Cambria Math" w:hAnsi="Cambria Math"/>
                      <w:color w:val="auto"/>
                      <w:szCs w:val="20"/>
                    </w:rPr>
                    <m:t>α</m:t>
                  </m:r>
                </m:e>
                <m:sup>
                  <m:r>
                    <w:rPr>
                      <w:rFonts w:ascii="Cambria Math" w:eastAsia="Cambria Math" w:hAnsi="Cambria Math"/>
                      <w:color w:val="auto"/>
                      <w:szCs w:val="20"/>
                    </w:rPr>
                    <m:t>n→1</m:t>
                  </m:r>
                </m:sup>
              </m:sSup>
              <m:r>
                <w:rPr>
                  <w:rFonts w:ascii="Cambria Math" w:eastAsia="Cambria Math" w:hAnsi="Cambria Math"/>
                  <w:color w:val="auto"/>
                  <w:szCs w:val="20"/>
                </w:rPr>
                <m:t>=</m:t>
              </m:r>
              <m:f>
                <m:fPr>
                  <m:ctrlPr>
                    <w:rPr>
                      <w:rFonts w:ascii="Cambria Math" w:eastAsia="Cambria Math" w:hAnsi="Cambria Math"/>
                      <w:color w:val="auto"/>
                      <w:szCs w:val="20"/>
                    </w:rPr>
                  </m:ctrlPr>
                </m:fPr>
                <m:num>
                  <m:r>
                    <w:rPr>
                      <w:rFonts w:ascii="Cambria Math" w:eastAsia="Cambria Math" w:hAnsi="Cambria Math"/>
                      <w:color w:val="auto"/>
                      <w:szCs w:val="20"/>
                    </w:rPr>
                    <m:t>σ(</m:t>
                  </m:r>
                  <m:sSub>
                    <m:sSubPr>
                      <m:ctrlPr>
                        <w:rPr>
                          <w:rFonts w:ascii="Cambria Math" w:hAnsi="Cambria Math"/>
                          <w:color w:val="auto"/>
                          <w:szCs w:val="20"/>
                        </w:rPr>
                      </m:ctrlPr>
                    </m:sSubPr>
                    <m:e>
                      <m:r>
                        <w:rPr>
                          <w:rFonts w:ascii="Cambria Math" w:hAnsi="Cambria Math"/>
                          <w:color w:val="auto"/>
                          <w:szCs w:val="20"/>
                        </w:rPr>
                        <m:t>PIF</m:t>
                      </m:r>
                    </m:e>
                    <m:sub>
                      <m:r>
                        <m:rPr>
                          <m:sty m:val="p"/>
                        </m:rPr>
                        <w:rPr>
                          <w:rFonts w:ascii="Cambria Math" w:hAnsi="Cambria Math"/>
                          <w:color w:val="auto"/>
                          <w:szCs w:val="20"/>
                        </w:rPr>
                        <m:t>S1</m:t>
                      </m:r>
                    </m:sub>
                  </m:sSub>
                  <m:r>
                    <w:rPr>
                      <w:rFonts w:ascii="Cambria Math" w:eastAsia="Cambria Math" w:hAnsi="Cambria Math"/>
                      <w:color w:val="auto"/>
                      <w:szCs w:val="20"/>
                    </w:rPr>
                    <m:t>)</m:t>
                  </m:r>
                </m:num>
                <m:den>
                  <m:r>
                    <w:rPr>
                      <w:rFonts w:ascii="Cambria Math" w:eastAsia="Cambria Math" w:hAnsi="Cambria Math"/>
                      <w:color w:val="auto"/>
                      <w:szCs w:val="20"/>
                    </w:rPr>
                    <m:t>σ(</m:t>
                  </m:r>
                  <m:sSub>
                    <m:sSubPr>
                      <m:ctrlPr>
                        <w:rPr>
                          <w:rFonts w:ascii="Cambria Math" w:hAnsi="Cambria Math"/>
                          <w:color w:val="auto"/>
                          <w:szCs w:val="20"/>
                        </w:rPr>
                      </m:ctrlPr>
                    </m:sSubPr>
                    <m:e>
                      <m:r>
                        <w:rPr>
                          <w:rFonts w:ascii="Cambria Math" w:hAnsi="Cambria Math"/>
                          <w:color w:val="auto"/>
                          <w:szCs w:val="20"/>
                        </w:rPr>
                        <m:t>PIF</m:t>
                      </m:r>
                    </m:e>
                    <m:sub>
                      <m:r>
                        <m:rPr>
                          <m:sty m:val="p"/>
                        </m:rPr>
                        <w:rPr>
                          <w:rFonts w:ascii="Cambria Math" w:hAnsi="Cambria Math"/>
                          <w:color w:val="auto"/>
                          <w:szCs w:val="20"/>
                        </w:rPr>
                        <m:t>Sn</m:t>
                      </m:r>
                    </m:sub>
                  </m:sSub>
                  <m:r>
                    <w:rPr>
                      <w:rFonts w:ascii="Cambria Math" w:eastAsia="Cambria Math" w:hAnsi="Cambria Math"/>
                      <w:color w:val="auto"/>
                      <w:szCs w:val="20"/>
                    </w:rPr>
                    <m:t>)</m:t>
                  </m:r>
                </m:den>
              </m:f>
              <m:r>
                <w:rPr>
                  <w:rFonts w:ascii="Cambria Math" w:hAnsi="Cambria Math"/>
                  <w:color w:val="auto"/>
                  <w:szCs w:val="20"/>
                </w:rPr>
                <m:t xml:space="preserve">; </m:t>
              </m:r>
              <m:sSup>
                <m:sSupPr>
                  <m:ctrlPr>
                    <w:rPr>
                      <w:rFonts w:ascii="Cambria Math" w:eastAsia="Cambria Math" w:hAnsi="Cambria Math"/>
                      <w:color w:val="auto"/>
                      <w:szCs w:val="20"/>
                    </w:rPr>
                  </m:ctrlPr>
                </m:sSupPr>
                <m:e>
                  <m:r>
                    <w:rPr>
                      <w:rFonts w:ascii="Cambria Math" w:eastAsia="Cambria Math" w:hAnsi="Cambria Math"/>
                      <w:color w:val="auto"/>
                      <w:szCs w:val="20"/>
                    </w:rPr>
                    <m:t>β</m:t>
                  </m:r>
                </m:e>
                <m:sup>
                  <m:r>
                    <w:rPr>
                      <w:rFonts w:ascii="Cambria Math" w:hAnsi="Cambria Math"/>
                      <w:color w:val="auto"/>
                      <w:szCs w:val="20"/>
                    </w:rPr>
                    <m:t>n</m:t>
                  </m:r>
                  <m:r>
                    <w:rPr>
                      <w:rFonts w:ascii="Cambria Math" w:eastAsia="Cambria Math" w:hAnsi="Cambria Math"/>
                      <w:color w:val="auto"/>
                      <w:szCs w:val="20"/>
                    </w:rPr>
                    <m:t>→</m:t>
                  </m:r>
                  <m:r>
                    <m:rPr>
                      <m:sty m:val="p"/>
                    </m:rPr>
                    <w:rPr>
                      <w:rFonts w:ascii="Cambria Math" w:hAnsi="Cambria Math"/>
                      <w:color w:val="auto"/>
                      <w:szCs w:val="20"/>
                    </w:rPr>
                    <m:t>1</m:t>
                  </m:r>
                </m:sup>
              </m:sSup>
              <m:r>
                <w:rPr>
                  <w:rFonts w:ascii="Cambria Math" w:eastAsia="Cambria Math" w:hAnsi="Cambria Math"/>
                  <w:color w:val="auto"/>
                  <w:szCs w:val="20"/>
                </w:rPr>
                <m:t>=</m:t>
              </m:r>
              <m:bar>
                <m:barPr>
                  <m:pos m:val="top"/>
                  <m:ctrlPr>
                    <w:rPr>
                      <w:rFonts w:ascii="Cambria Math" w:hAnsi="Cambria Math"/>
                      <w:color w:val="auto"/>
                      <w:szCs w:val="20"/>
                    </w:rPr>
                  </m:ctrlPr>
                </m:barPr>
                <m:e>
                  <m:sSub>
                    <m:sSubPr>
                      <m:ctrlPr>
                        <w:rPr>
                          <w:rFonts w:ascii="Cambria Math" w:hAnsi="Cambria Math"/>
                          <w:color w:val="auto"/>
                          <w:szCs w:val="20"/>
                        </w:rPr>
                      </m:ctrlPr>
                    </m:sSubPr>
                    <m:e>
                      <m:r>
                        <w:rPr>
                          <w:rFonts w:ascii="Cambria Math" w:hAnsi="Cambria Math"/>
                          <w:color w:val="auto"/>
                          <w:szCs w:val="20"/>
                        </w:rPr>
                        <m:t>PIF</m:t>
                      </m:r>
                    </m:e>
                    <m:sub>
                      <m:r>
                        <m:rPr>
                          <m:sty m:val="p"/>
                        </m:rPr>
                        <w:rPr>
                          <w:rFonts w:ascii="Cambria Math" w:hAnsi="Cambria Math"/>
                          <w:color w:val="auto"/>
                          <w:szCs w:val="20"/>
                        </w:rPr>
                        <m:t>S1</m:t>
                      </m:r>
                    </m:sub>
                  </m:sSub>
                </m:e>
              </m:bar>
              <m:r>
                <m:rPr>
                  <m:sty m:val="bi"/>
                </m:rPr>
                <w:rPr>
                  <w:rFonts w:ascii="Cambria Math" w:hAnsi="Cambria Math"/>
                  <w:color w:val="auto"/>
                  <w:szCs w:val="20"/>
                </w:rPr>
                <m:t>-</m:t>
              </m:r>
              <m:sSup>
                <m:sSupPr>
                  <m:ctrlPr>
                    <w:rPr>
                      <w:rFonts w:ascii="Cambria Math" w:eastAsia="Cambria Math" w:hAnsi="Cambria Math"/>
                      <w:color w:val="auto"/>
                      <w:szCs w:val="20"/>
                    </w:rPr>
                  </m:ctrlPr>
                </m:sSupPr>
                <m:e>
                  <m:r>
                    <w:rPr>
                      <w:rFonts w:ascii="Cambria Math" w:eastAsia="Cambria Math" w:hAnsi="Cambria Math"/>
                      <w:color w:val="auto"/>
                      <w:szCs w:val="20"/>
                    </w:rPr>
                    <m:t>α</m:t>
                  </m:r>
                </m:e>
                <m:sup>
                  <m:r>
                    <w:rPr>
                      <w:rFonts w:ascii="Cambria Math" w:eastAsia="Cambria Math" w:hAnsi="Cambria Math"/>
                      <w:color w:val="auto"/>
                      <w:szCs w:val="20"/>
                    </w:rPr>
                    <m:t>n→</m:t>
                  </m:r>
                  <m:r>
                    <m:rPr>
                      <m:sty m:val="p"/>
                    </m:rPr>
                    <w:rPr>
                      <w:rFonts w:ascii="Cambria Math" w:hAnsi="Cambria Math"/>
                      <w:color w:val="auto"/>
                      <w:szCs w:val="20"/>
                    </w:rPr>
                    <m:t>1</m:t>
                  </m:r>
                </m:sup>
              </m:sSup>
              <m:r>
                <m:rPr>
                  <m:sty m:val="bi"/>
                </m:rPr>
                <w:rPr>
                  <w:rFonts w:ascii="Cambria Math" w:hAnsi="Cambria Math"/>
                  <w:color w:val="auto"/>
                  <w:szCs w:val="20"/>
                </w:rPr>
                <m:t>∙</m:t>
              </m:r>
              <m:bar>
                <m:barPr>
                  <m:pos m:val="top"/>
                  <m:ctrlPr>
                    <w:rPr>
                      <w:rFonts w:ascii="Cambria Math" w:hAnsi="Cambria Math"/>
                      <w:color w:val="auto"/>
                      <w:szCs w:val="20"/>
                    </w:rPr>
                  </m:ctrlPr>
                </m:barPr>
                <m:e>
                  <m:sSub>
                    <m:sSubPr>
                      <m:ctrlPr>
                        <w:rPr>
                          <w:rFonts w:ascii="Cambria Math" w:hAnsi="Cambria Math"/>
                          <w:color w:val="auto"/>
                          <w:szCs w:val="20"/>
                        </w:rPr>
                      </m:ctrlPr>
                    </m:sSubPr>
                    <m:e>
                      <m:r>
                        <w:rPr>
                          <w:rFonts w:ascii="Cambria Math" w:hAnsi="Cambria Math"/>
                          <w:color w:val="auto"/>
                          <w:szCs w:val="20"/>
                        </w:rPr>
                        <m:t>PIF</m:t>
                      </m:r>
                    </m:e>
                    <m:sub>
                      <m:r>
                        <m:rPr>
                          <m:sty m:val="p"/>
                        </m:rPr>
                        <w:rPr>
                          <w:rFonts w:ascii="Cambria Math" w:hAnsi="Cambria Math"/>
                          <w:color w:val="auto"/>
                          <w:szCs w:val="20"/>
                        </w:rPr>
                        <m:t>Sn</m:t>
                      </m:r>
                    </m:sub>
                  </m:sSub>
                </m:e>
              </m:bar>
            </m:oMath>
            <w:r w:rsidR="00900B5C" w:rsidRPr="00900B5C">
              <w:rPr>
                <w:rFonts w:ascii="Times New Roman" w:hAnsi="Times New Roman"/>
                <w:color w:val="auto"/>
                <w:szCs w:val="20"/>
              </w:rPr>
              <w:t>.</w:t>
            </w:r>
          </w:p>
        </w:tc>
        <w:tc>
          <w:tcPr>
            <w:tcW w:w="431" w:type="dxa"/>
            <w:vAlign w:val="center"/>
          </w:tcPr>
          <w:p w14:paraId="0E292B7D" w14:textId="77777777" w:rsidR="00900B5C" w:rsidRPr="00900B5C" w:rsidRDefault="00900B5C" w:rsidP="002748DA">
            <w:pPr>
              <w:pStyle w:val="MDPI3aequationnumber"/>
              <w:spacing w:before="0" w:after="0" w:line="260" w:lineRule="atLeast"/>
              <w:jc w:val="center"/>
              <w:rPr>
                <w:rFonts w:ascii="Times New Roman" w:hAnsi="Times New Roman"/>
                <w:color w:val="auto"/>
                <w:szCs w:val="20"/>
              </w:rPr>
            </w:pPr>
            <w:r w:rsidRPr="00900B5C">
              <w:rPr>
                <w:rFonts w:ascii="Times New Roman" w:hAnsi="Times New Roman"/>
                <w:color w:val="auto"/>
                <w:szCs w:val="20"/>
              </w:rPr>
              <w:t>(2)</w:t>
            </w:r>
          </w:p>
        </w:tc>
      </w:tr>
    </w:tbl>
    <w:p w14:paraId="7A0E8DE3" w14:textId="66EF001E" w:rsidR="007343CC" w:rsidRPr="007343CC" w:rsidRDefault="007343CC" w:rsidP="00E5585A">
      <w:pPr>
        <w:kinsoku w:val="0"/>
        <w:overflowPunct w:val="0"/>
        <w:snapToGrid w:val="0"/>
        <w:spacing w:beforeLines="50" w:before="120"/>
        <w:rPr>
          <w:bCs/>
          <w:color w:val="000000" w:themeColor="text1"/>
          <w:lang w:bidi="en-US"/>
        </w:rPr>
      </w:pPr>
      <w:r w:rsidRPr="007343CC">
        <w:rPr>
          <w:rFonts w:eastAsia="DFKai-SB"/>
          <w:bCs/>
        </w:rPr>
        <w:lastRenderedPageBreak/>
        <w:t xml:space="preserve">The relaxation algorithm is applied to obtain consistent surface reflectance value of the normalized images. This algorithm </w:t>
      </w:r>
      <w:r w:rsidRPr="007343CC">
        <w:rPr>
          <w:bCs/>
          <w:lang w:bidi="en-US"/>
        </w:rPr>
        <w:t>minimizes or an error function by constructing a sequence of iterations that expressed in Eq. (3)</w:t>
      </w:r>
      <w:r w:rsidR="002C434C">
        <w:rPr>
          <w:bCs/>
          <w:lang w:bidi="en-US"/>
        </w:rPr>
        <w:t xml:space="preserve"> </w:t>
      </w:r>
      <w:r w:rsidR="002C434C">
        <w:rPr>
          <w:bCs/>
          <w:lang w:bidi="en-US"/>
        </w:rPr>
        <w:fldChar w:fldCharType="begin"/>
      </w:r>
      <w:r w:rsidR="002C434C">
        <w:rPr>
          <w:bCs/>
          <w:lang w:bidi="en-US"/>
        </w:rPr>
        <w:instrText xml:space="preserve"> ADDIN ZOTERO_ITEM CSL_CITATION {"citationID":"ndn6eSzB","properties":{"formattedCitation":"(Ninin et al., 2015)","plainCitation":"(Ninin et al., 2015)","noteIndex":0},"citationItems":[{"id":261,"uris":["http://zotero.org/users/local/WcktKtYd/items/WKQPV7JG"],"itemData":{"id":261,"type":"article-journal","container-title":"4OR","ISSN":"1619-4500, 1614-2411","issue":"3","journalAbbreviation":"4OR-Q J Oper Res","language":"en","page":"247-277","source":"DOI.org (Crossref)","title":"A reliable affine relaxation method for global optimization","volume":"13","author":[{"family":"Ninin","given":"Jordan"},{"family":"Messine","given":"Frédéric"},{"family":"Hansen","given":"Pierre"}],"issued":{"date-parts":[["2015",9]]}}}],"schema":"https://github.com/citation-style-language/schema/raw/master/csl-citation.json"} </w:instrText>
      </w:r>
      <w:r w:rsidR="002C434C">
        <w:rPr>
          <w:bCs/>
          <w:lang w:bidi="en-US"/>
        </w:rPr>
        <w:fldChar w:fldCharType="separate"/>
      </w:r>
      <w:r w:rsidR="002C434C" w:rsidRPr="002C434C">
        <w:t>(Ninin et al., 2015)</w:t>
      </w:r>
      <w:r w:rsidR="002C434C">
        <w:rPr>
          <w:bCs/>
          <w:lang w:bidi="en-US"/>
        </w:rPr>
        <w:fldChar w:fldCharType="end"/>
      </w:r>
      <w:r w:rsidRPr="007343CC">
        <w:rPr>
          <w:bCs/>
          <w:lang w:bidi="en-US"/>
        </w:rPr>
        <w:t xml:space="preserve">. The algorithm operates by starting with an initial value of normalization parameters (slope (α) and intercept (β) variables) from the previous </w:t>
      </w:r>
      <w:r w:rsidRPr="007343CC">
        <w:rPr>
          <w:bCs/>
          <w:color w:val="000000" w:themeColor="text1"/>
          <w:lang w:bidi="en-US"/>
        </w:rPr>
        <w:t>normalization result and repeatedly updating them until a desired level of convergence is obtained. This proposed algorithm gradually aligns the radiometric values of the target image with those of any reference image</w:t>
      </w:r>
      <w:r w:rsidR="00E5585A">
        <w:rPr>
          <w:bCs/>
          <w:color w:val="000000" w:themeColor="text1"/>
          <w:lang w:bidi="en-US"/>
        </w:rPr>
        <w:t xml:space="preserve"> </w:t>
      </w:r>
      <w:r w:rsidR="00E5585A" w:rsidRPr="00E5585A">
        <w:rPr>
          <w:bCs/>
          <w:color w:val="000000" w:themeColor="text1"/>
          <w:lang w:bidi="en-US"/>
        </w:rPr>
        <w:t>This is achieved through iterative iterations of Pseudo invariant features (PIFs) extraction and image normalization steps, where the input images are the previously normalized images. As a result, a more coherent collection of images is obtained.</w:t>
      </w:r>
    </w:p>
    <w:tbl>
      <w:tblPr>
        <w:tblW w:w="7859" w:type="dxa"/>
        <w:tblInd w:w="1134" w:type="dxa"/>
        <w:tblCellMar>
          <w:left w:w="0" w:type="dxa"/>
          <w:right w:w="0" w:type="dxa"/>
        </w:tblCellMar>
        <w:tblLook w:val="04A0" w:firstRow="1" w:lastRow="0" w:firstColumn="1" w:lastColumn="0" w:noHBand="0" w:noVBand="1"/>
      </w:tblPr>
      <w:tblGrid>
        <w:gridCol w:w="7428"/>
        <w:gridCol w:w="431"/>
      </w:tblGrid>
      <w:tr w:rsidR="007343CC" w:rsidRPr="007343CC" w14:paraId="52EE6B49" w14:textId="77777777" w:rsidTr="002748DA">
        <w:tc>
          <w:tcPr>
            <w:tcW w:w="7428" w:type="dxa"/>
          </w:tcPr>
          <w:p w14:paraId="431741E5" w14:textId="39E940EF" w:rsidR="007343CC" w:rsidRPr="007343CC" w:rsidRDefault="007343CC" w:rsidP="002748DA">
            <w:pPr>
              <w:pStyle w:val="MDPI39equation"/>
              <w:spacing w:before="0" w:after="0"/>
              <w:ind w:left="0"/>
              <w:rPr>
                <w:rFonts w:ascii="Times New Roman" w:hAnsi="Times New Roman"/>
                <w:color w:val="000000" w:themeColor="text1"/>
                <w:szCs w:val="20"/>
              </w:rPr>
            </w:pPr>
            <w:r w:rsidRPr="007343CC">
              <w:rPr>
                <w:rFonts w:ascii="Times New Roman" w:hAnsi="Times New Roman"/>
                <w:color w:val="000000" w:themeColor="text1"/>
                <w:szCs w:val="20"/>
              </w:rPr>
              <w:fldChar w:fldCharType="begin"/>
            </w:r>
            <w:r w:rsidRPr="007343CC">
              <w:rPr>
                <w:rFonts w:ascii="Times New Roman" w:hAnsi="Times New Roman"/>
                <w:color w:val="000000" w:themeColor="text1"/>
                <w:szCs w:val="20"/>
              </w:rPr>
              <w:instrText xml:space="preserve"> QUOTE </w:instrText>
            </w:r>
            <m:oMath>
              <m:sSubSup>
                <m:sSubSupPr>
                  <m:ctrlPr>
                    <w:rPr>
                      <w:rFonts w:ascii="Cambria Math" w:eastAsia="Cambria Math" w:hAnsi="Cambria Math"/>
                      <w:i/>
                      <w:szCs w:val="20"/>
                    </w:rPr>
                  </m:ctrlPr>
                </m:sSubSupPr>
                <m:e>
                  <m:r>
                    <m:rPr>
                      <m:sty m:val="p"/>
                    </m:rPr>
                    <w:rPr>
                      <w:rFonts w:ascii="Cambria Math" w:eastAsia="Cambria Math" w:hAnsi="Cambria Math"/>
                      <w:szCs w:val="20"/>
                    </w:rPr>
                    <m:t>S</m:t>
                  </m:r>
                </m:e>
                <m:sub>
                  <m:r>
                    <m:rPr>
                      <m:sty m:val="p"/>
                    </m:rPr>
                    <w:rPr>
                      <w:rFonts w:ascii="Cambria Math" w:eastAsia="Cambria Math" w:hAnsi="Cambria Math"/>
                      <w:szCs w:val="20"/>
                    </w:rPr>
                    <m:t>n</m:t>
                  </m:r>
                </m:sub>
                <m:sup>
                  <m:r>
                    <m:rPr>
                      <m:sty m:val="p"/>
                    </m:rPr>
                    <w:rPr>
                      <w:rFonts w:ascii="Cambria Math" w:eastAsia="Cambria Math" w:hAnsi="Cambria Math"/>
                      <w:szCs w:val="20"/>
                    </w:rPr>
                    <m:t>'</m:t>
                  </m:r>
                </m:sup>
              </m:sSubSup>
              <m:r>
                <m:rPr>
                  <m:sty m:val="p"/>
                </m:rPr>
                <w:rPr>
                  <w:rFonts w:ascii="Cambria Math" w:eastAsia="Cambria Math" w:hAnsi="Cambria Math"/>
                  <w:szCs w:val="20"/>
                </w:rPr>
                <m:t>=</m:t>
              </m:r>
              <m:sSup>
                <m:sSupPr>
                  <m:ctrlPr>
                    <w:rPr>
                      <w:rFonts w:ascii="Cambria Math" w:eastAsia="Cambria Math" w:hAnsi="Cambria Math"/>
                      <w:szCs w:val="20"/>
                    </w:rPr>
                  </m:ctrlPr>
                </m:sSupPr>
                <m:e>
                  <m:r>
                    <m:rPr>
                      <m:sty m:val="p"/>
                    </m:rPr>
                    <w:rPr>
                      <w:rFonts w:ascii="Cambria Math" w:eastAsia="Cambria Math" w:hAnsi="Cambria Math"/>
                      <w:szCs w:val="20"/>
                    </w:rPr>
                    <m:t>α</m:t>
                  </m:r>
                </m:e>
                <m:sup>
                  <m:r>
                    <m:rPr>
                      <m:sty m:val="p"/>
                    </m:rPr>
                    <w:rPr>
                      <w:rFonts w:ascii="Cambria Math" w:eastAsia="Cambria Math" w:hAnsi="Cambria Math"/>
                      <w:szCs w:val="20"/>
                    </w:rPr>
                    <m:t>n→</m:t>
                  </m:r>
                  <m:r>
                    <m:rPr>
                      <m:sty m:val="p"/>
                    </m:rPr>
                    <w:rPr>
                      <w:rFonts w:ascii="Cambria Math" w:hAnsi="Cambria Math"/>
                      <w:szCs w:val="20"/>
                    </w:rPr>
                    <m:t>1</m:t>
                  </m:r>
                </m:sup>
              </m:sSup>
              <m:r>
                <m:rPr>
                  <m:sty m:val="p"/>
                </m:rPr>
                <w:rPr>
                  <w:rFonts w:ascii="Cambria Math" w:eastAsia="Cambria Math" w:hAnsi="Cambria Math"/>
                  <w:szCs w:val="20"/>
                </w:rPr>
                <m:t> </m:t>
              </m:r>
              <m:d>
                <m:dPr>
                  <m:ctrlPr>
                    <w:rPr>
                      <w:rFonts w:ascii="Cambria Math" w:eastAsia="Cambria Math" w:hAnsi="Cambria Math"/>
                      <w:i/>
                      <w:szCs w:val="20"/>
                    </w:rPr>
                  </m:ctrlPr>
                </m:dPr>
                <m:e>
                  <m:sSub>
                    <m:sSubPr>
                      <m:ctrlPr>
                        <w:rPr>
                          <w:rFonts w:ascii="Cambria Math" w:hAnsi="Cambria Math"/>
                          <w:szCs w:val="20"/>
                        </w:rPr>
                      </m:ctrlPr>
                    </m:sSubPr>
                    <m:e>
                      <m:r>
                        <m:rPr>
                          <m:sty m:val="p"/>
                        </m:rPr>
                        <w:rPr>
                          <w:rFonts w:ascii="Cambria Math" w:hAnsi="Cambria Math"/>
                          <w:szCs w:val="20"/>
                        </w:rPr>
                        <m:t>S</m:t>
                      </m:r>
                    </m:e>
                    <m:sub>
                      <m:r>
                        <m:rPr>
                          <m:sty m:val="p"/>
                        </m:rPr>
                        <w:rPr>
                          <w:rFonts w:ascii="Cambria Math" w:hAnsi="Cambria Math"/>
                          <w:szCs w:val="20"/>
                        </w:rPr>
                        <m:t>n</m:t>
                      </m:r>
                    </m:sub>
                  </m:sSub>
                </m:e>
              </m:d>
              <m:r>
                <m:rPr>
                  <m:sty m:val="p"/>
                </m:rPr>
                <w:rPr>
                  <w:rFonts w:ascii="Cambria Math" w:eastAsia="Cambria Math" w:hAnsi="Cambria Math"/>
                  <w:szCs w:val="20"/>
                </w:rPr>
                <m:t>+</m:t>
              </m:r>
              <m:sSup>
                <m:sSupPr>
                  <m:ctrlPr>
                    <w:rPr>
                      <w:rFonts w:ascii="Cambria Math" w:eastAsia="Cambria Math" w:hAnsi="Cambria Math"/>
                      <w:szCs w:val="20"/>
                    </w:rPr>
                  </m:ctrlPr>
                </m:sSupPr>
                <m:e>
                  <m:r>
                    <m:rPr>
                      <m:sty m:val="p"/>
                    </m:rPr>
                    <w:rPr>
                      <w:rFonts w:ascii="Cambria Math" w:eastAsia="Cambria Math" w:hAnsi="Cambria Math"/>
                      <w:szCs w:val="20"/>
                    </w:rPr>
                    <m:t>β</m:t>
                  </m:r>
                </m:e>
                <m:sup>
                  <m:r>
                    <m:rPr>
                      <m:sty m:val="p"/>
                    </m:rPr>
                    <w:rPr>
                      <w:rFonts w:ascii="Cambria Math" w:hAnsi="Cambria Math"/>
                      <w:szCs w:val="20"/>
                    </w:rPr>
                    <m:t>n</m:t>
                  </m:r>
                  <m:r>
                    <m:rPr>
                      <m:sty m:val="p"/>
                    </m:rPr>
                    <w:rPr>
                      <w:rFonts w:ascii="Cambria Math" w:eastAsia="Cambria Math" w:hAnsi="Cambria Math"/>
                      <w:szCs w:val="20"/>
                    </w:rPr>
                    <m:t>→</m:t>
                  </m:r>
                  <m:r>
                    <m:rPr>
                      <m:sty m:val="p"/>
                    </m:rPr>
                    <w:rPr>
                      <w:rFonts w:ascii="Cambria Math" w:hAnsi="Cambria Math"/>
                      <w:szCs w:val="20"/>
                    </w:rPr>
                    <m:t>1</m:t>
                  </m:r>
                </m:sup>
              </m:sSup>
              <m:r>
                <m:rPr>
                  <m:sty m:val="p"/>
                </m:rPr>
                <w:rPr>
                  <w:rFonts w:ascii="Cambria Math" w:hAnsi="Cambria Math"/>
                  <w:szCs w:val="20"/>
                </w:rPr>
                <m:t>,</m:t>
              </m:r>
            </m:oMath>
            <w:r w:rsidRPr="007343CC">
              <w:rPr>
                <w:rFonts w:ascii="Times New Roman" w:hAnsi="Times New Roman"/>
                <w:color w:val="000000" w:themeColor="text1"/>
                <w:szCs w:val="20"/>
              </w:rPr>
              <w:instrText xml:space="preserve"> </w:instrText>
            </w:r>
            <w:r w:rsidRPr="007343CC">
              <w:rPr>
                <w:rFonts w:ascii="Times New Roman" w:hAnsi="Times New Roman"/>
                <w:color w:val="000000" w:themeColor="text1"/>
                <w:szCs w:val="20"/>
              </w:rPr>
              <w:fldChar w:fldCharType="separate"/>
            </w:r>
            <m:oMath>
              <m:func>
                <m:funcPr>
                  <m:ctrlPr>
                    <w:rPr>
                      <w:rFonts w:ascii="Cambria Math" w:eastAsia="Cambria Math" w:hAnsi="Cambria Math"/>
                      <w:i/>
                      <w:szCs w:val="20"/>
                    </w:rPr>
                  </m:ctrlPr>
                </m:funcPr>
                <m:fName>
                  <m:limLow>
                    <m:limLowPr>
                      <m:ctrlPr>
                        <w:rPr>
                          <w:rFonts w:ascii="Cambria Math" w:eastAsia="Cambria Math" w:hAnsi="Cambria Math"/>
                          <w:i/>
                          <w:szCs w:val="20"/>
                        </w:rPr>
                      </m:ctrlPr>
                    </m:limLowPr>
                    <m:e>
                      <m:r>
                        <m:rPr>
                          <m:sty m:val="p"/>
                        </m:rPr>
                        <w:rPr>
                          <w:rFonts w:ascii="Cambria Math" w:eastAsia="Cambria Math" w:hAnsi="Cambria Math"/>
                          <w:szCs w:val="20"/>
                        </w:rPr>
                        <m:t>min</m:t>
                      </m:r>
                    </m:e>
                    <m:lim>
                      <m:r>
                        <m:rPr>
                          <m:sty m:val="p"/>
                        </m:rPr>
                        <w:rPr>
                          <w:rFonts w:ascii="Cambria Math" w:eastAsia="Cambria Math" w:hAnsi="Cambria Math"/>
                          <w:szCs w:val="20"/>
                        </w:rPr>
                        <m:t>A,B</m:t>
                      </m:r>
                    </m:lim>
                  </m:limLow>
                </m:fName>
                <m:e>
                  <m:r>
                    <m:rPr>
                      <m:sty m:val="p"/>
                    </m:rPr>
                    <w:rPr>
                      <w:rFonts w:ascii="Cambria Math" w:eastAsia="Cambria Math" w:hAnsi="Cambria Math"/>
                      <w:szCs w:val="20"/>
                    </w:rPr>
                    <m:t>E (</m:t>
                  </m:r>
                  <m:sSub>
                    <m:sSubPr>
                      <m:ctrlPr>
                        <w:rPr>
                          <w:rFonts w:ascii="Cambria Math" w:hAnsi="Cambria Math"/>
                          <w:i/>
                          <w:iCs/>
                          <w:szCs w:val="20"/>
                        </w:rPr>
                      </m:ctrlPr>
                    </m:sSubPr>
                    <m:e>
                      <m:r>
                        <m:rPr>
                          <m:sty m:val="p"/>
                        </m:rPr>
                        <w:rPr>
                          <w:rFonts w:ascii="Cambria Math" w:hAnsi="Cambria Math"/>
                          <w:szCs w:val="20"/>
                        </w:rPr>
                        <m:t>O</m:t>
                      </m:r>
                    </m:e>
                    <m:sub>
                      <m:r>
                        <m:rPr>
                          <m:sty m:val="p"/>
                        </m:rPr>
                        <w:rPr>
                          <w:rFonts w:ascii="Cambria Math" w:hAnsi="Cambria Math"/>
                          <w:szCs w:val="20"/>
                        </w:rPr>
                        <m:t>1</m:t>
                      </m:r>
                    </m:sub>
                  </m:sSub>
                  <m:r>
                    <m:rPr>
                      <m:sty m:val="p"/>
                    </m:rPr>
                    <w:rPr>
                      <w:rFonts w:ascii="Cambria Math" w:hAnsi="Cambria Math"/>
                      <w:szCs w:val="20"/>
                    </w:rPr>
                    <m:t>,</m:t>
                  </m:r>
                  <m:sSub>
                    <m:sSubPr>
                      <m:ctrlPr>
                        <w:rPr>
                          <w:rFonts w:ascii="Cambria Math" w:hAnsi="Cambria Math"/>
                          <w:i/>
                          <w:iCs/>
                          <w:szCs w:val="20"/>
                        </w:rPr>
                      </m:ctrlPr>
                    </m:sSubPr>
                    <m:e>
                      <m:r>
                        <m:rPr>
                          <m:sty m:val="p"/>
                        </m:rPr>
                        <w:rPr>
                          <w:rFonts w:ascii="Cambria Math" w:hAnsi="Cambria Math"/>
                          <w:szCs w:val="20"/>
                        </w:rPr>
                        <m:t>O</m:t>
                      </m:r>
                    </m:e>
                    <m:sub>
                      <m:r>
                        <m:rPr>
                          <m:sty m:val="p"/>
                        </m:rPr>
                        <w:rPr>
                          <w:rFonts w:ascii="Cambria Math" w:hAnsi="Cambria Math"/>
                          <w:szCs w:val="20"/>
                        </w:rPr>
                        <m:t>2</m:t>
                      </m:r>
                    </m:sub>
                  </m:sSub>
                  <m:r>
                    <m:rPr>
                      <m:sty m:val="p"/>
                    </m:rPr>
                    <w:rPr>
                      <w:rFonts w:ascii="Cambria Math" w:hAnsi="Cambria Math"/>
                      <w:szCs w:val="20"/>
                    </w:rPr>
                    <m:t>,…,</m:t>
                  </m:r>
                  <m:sSub>
                    <m:sSubPr>
                      <m:ctrlPr>
                        <w:rPr>
                          <w:rFonts w:ascii="Cambria Math" w:hAnsi="Cambria Math"/>
                          <w:i/>
                          <w:iCs/>
                          <w:szCs w:val="20"/>
                        </w:rPr>
                      </m:ctrlPr>
                    </m:sSubPr>
                    <m:e>
                      <m:r>
                        <m:rPr>
                          <m:sty m:val="p"/>
                        </m:rPr>
                        <w:rPr>
                          <w:rFonts w:ascii="Cambria Math" w:hAnsi="Cambria Math"/>
                          <w:szCs w:val="20"/>
                        </w:rPr>
                        <m:t>O</m:t>
                      </m:r>
                    </m:e>
                    <m:sub>
                      <m:r>
                        <m:rPr>
                          <m:sty m:val="p"/>
                        </m:rPr>
                        <w:rPr>
                          <w:rFonts w:ascii="Cambria Math" w:hAnsi="Cambria Math"/>
                          <w:szCs w:val="20"/>
                        </w:rPr>
                        <m:t>n</m:t>
                      </m:r>
                    </m:sub>
                  </m:sSub>
                  <m:r>
                    <m:rPr>
                      <m:sty m:val="p"/>
                    </m:rPr>
                    <w:rPr>
                      <w:rFonts w:ascii="Cambria Math" w:hAnsi="Cambria Math"/>
                      <w:szCs w:val="20"/>
                    </w:rPr>
                    <m:t>)</m:t>
                  </m:r>
                </m:e>
              </m:func>
              <m:r>
                <m:rPr>
                  <m:sty m:val="p"/>
                </m:rPr>
                <w:rPr>
                  <w:rFonts w:ascii="Cambria Math" w:eastAsia="Cambria Math" w:hAnsi="Cambria Math"/>
                  <w:szCs w:val="20"/>
                </w:rPr>
                <m:t>=</m:t>
              </m:r>
              <m:f>
                <m:fPr>
                  <m:ctrlPr>
                    <w:rPr>
                      <w:rFonts w:ascii="Cambria Math" w:eastAsia="Cambria Math" w:hAnsi="Cambria Math"/>
                      <w:i/>
                      <w:szCs w:val="20"/>
                    </w:rPr>
                  </m:ctrlPr>
                </m:fPr>
                <m:num>
                  <m:nary>
                    <m:naryPr>
                      <m:chr m:val="∑"/>
                      <m:limLoc m:val="subSup"/>
                      <m:ctrlPr>
                        <w:rPr>
                          <w:rFonts w:ascii="Cambria Math" w:eastAsia="Cambria Math" w:hAnsi="Cambria Math"/>
                          <w:i/>
                          <w:szCs w:val="20"/>
                        </w:rPr>
                      </m:ctrlPr>
                    </m:naryPr>
                    <m:sub>
                      <m:r>
                        <m:rPr>
                          <m:sty m:val="p"/>
                        </m:rPr>
                        <w:rPr>
                          <w:rFonts w:ascii="Cambria Math" w:eastAsia="Cambria Math" w:hAnsi="Cambria Math"/>
                          <w:szCs w:val="20"/>
                        </w:rPr>
                        <m:t>i=1</m:t>
                      </m:r>
                    </m:sub>
                    <m:sup>
                      <m:r>
                        <m:rPr>
                          <m:sty m:val="p"/>
                        </m:rPr>
                        <w:rPr>
                          <w:rFonts w:ascii="Cambria Math" w:eastAsia="Cambria Math" w:hAnsi="Cambria Math"/>
                          <w:szCs w:val="20"/>
                        </w:rPr>
                        <m:t>n</m:t>
                      </m:r>
                    </m:sup>
                    <m:e>
                      <m:sSub>
                        <m:sSubPr>
                          <m:ctrlPr>
                            <w:rPr>
                              <w:rFonts w:ascii="Cambria Math" w:hAnsi="Cambria Math"/>
                              <w:szCs w:val="20"/>
                            </w:rPr>
                          </m:ctrlPr>
                        </m:sSubPr>
                        <m:e>
                          <m:r>
                            <m:rPr>
                              <m:sty m:val="p"/>
                            </m:rPr>
                            <w:rPr>
                              <w:rFonts w:ascii="Cambria Math" w:hAnsi="Cambria Math"/>
                              <w:szCs w:val="20"/>
                            </w:rPr>
                            <m:t>O</m:t>
                          </m:r>
                        </m:e>
                        <m:sub>
                          <m:r>
                            <m:rPr>
                              <m:sty m:val="p"/>
                            </m:rPr>
                            <w:rPr>
                              <w:rFonts w:ascii="Cambria Math" w:hAnsi="Cambria Math"/>
                              <w:szCs w:val="20"/>
                            </w:rPr>
                            <m:t>i</m:t>
                          </m:r>
                        </m:sub>
                      </m:sSub>
                      <m:r>
                        <m:rPr>
                          <m:sty m:val="p"/>
                        </m:rPr>
                        <w:rPr>
                          <w:rFonts w:ascii="Cambria Math" w:hAnsi="Cambria Math"/>
                          <w:szCs w:val="20"/>
                        </w:rPr>
                        <m:t>-</m:t>
                      </m:r>
                      <m:nary>
                        <m:naryPr>
                          <m:chr m:val="∑"/>
                          <m:limLoc m:val="subSup"/>
                          <m:ctrlPr>
                            <w:rPr>
                              <w:rFonts w:ascii="Cambria Math" w:hAnsi="Cambria Math"/>
                              <w:i/>
                              <w:szCs w:val="20"/>
                            </w:rPr>
                          </m:ctrlPr>
                        </m:naryPr>
                        <m:sub>
                          <m:r>
                            <m:rPr>
                              <m:sty m:val="p"/>
                            </m:rPr>
                            <w:rPr>
                              <w:rFonts w:ascii="Cambria Math" w:hAnsi="Cambria Math"/>
                              <w:szCs w:val="20"/>
                            </w:rPr>
                            <m:t>i=1</m:t>
                          </m:r>
                        </m:sub>
                        <m:sup>
                          <m:r>
                            <m:rPr>
                              <m:sty m:val="p"/>
                            </m:rPr>
                            <w:rPr>
                              <w:rFonts w:ascii="Cambria Math" w:hAnsi="Cambria Math"/>
                              <w:szCs w:val="20"/>
                            </w:rPr>
                            <m:t>n</m:t>
                          </m:r>
                        </m:sup>
                        <m:e>
                          <m:d>
                            <m:dPr>
                              <m:begChr m:val="{"/>
                              <m:endChr m:val="}"/>
                              <m:ctrlPr>
                                <w:rPr>
                                  <w:rFonts w:ascii="Cambria Math" w:hAnsi="Cambria Math"/>
                                  <w:i/>
                                  <w:szCs w:val="20"/>
                                </w:rPr>
                              </m:ctrlPr>
                            </m:dPr>
                            <m:e>
                              <m:eqArr>
                                <m:eqArrPr>
                                  <m:ctrlPr>
                                    <w:rPr>
                                      <w:rFonts w:ascii="Cambria Math" w:hAnsi="Cambria Math"/>
                                      <w:i/>
                                      <w:szCs w:val="20"/>
                                    </w:rPr>
                                  </m:ctrlPr>
                                </m:eqArrPr>
                                <m:e>
                                  <m:r>
                                    <m:rPr>
                                      <m:sty m:val="p"/>
                                    </m:rPr>
                                    <w:rPr>
                                      <w:rFonts w:ascii="Cambria Math" w:hAnsi="Cambria Math"/>
                                      <w:szCs w:val="20"/>
                                    </w:rPr>
                                    <m:t>O</m:t>
                                  </m:r>
                                  <m:d>
                                    <m:dPr>
                                      <m:ctrlPr>
                                        <w:rPr>
                                          <w:rFonts w:ascii="Cambria Math" w:hAnsi="Cambria Math"/>
                                          <w:i/>
                                          <w:szCs w:val="20"/>
                                        </w:rPr>
                                      </m:ctrlPr>
                                    </m:dPr>
                                    <m:e>
                                      <m:sSup>
                                        <m:sSupPr>
                                          <m:ctrlPr>
                                            <w:rPr>
                                              <w:rFonts w:ascii="Cambria Math" w:eastAsia="Cambria Math" w:hAnsi="Cambria Math"/>
                                              <w:szCs w:val="20"/>
                                            </w:rPr>
                                          </m:ctrlPr>
                                        </m:sSupPr>
                                        <m:e>
                                          <m:r>
                                            <m:rPr>
                                              <m:sty m:val="p"/>
                                            </m:rPr>
                                            <w:rPr>
                                              <w:rFonts w:ascii="Cambria Math" w:eastAsia="Cambria Math" w:hAnsi="Cambria Math"/>
                                              <w:szCs w:val="20"/>
                                            </w:rPr>
                                            <m:t>A</m:t>
                                          </m:r>
                                        </m:e>
                                        <m:sup>
                                          <m:d>
                                            <m:dPr>
                                              <m:ctrlPr>
                                                <w:rPr>
                                                  <w:rFonts w:ascii="Cambria Math" w:eastAsia="Cambria Math" w:hAnsi="Cambria Math"/>
                                                  <w:i/>
                                                  <w:szCs w:val="20"/>
                                                </w:rPr>
                                              </m:ctrlPr>
                                            </m:dPr>
                                            <m:e>
                                              <m:r>
                                                <m:rPr>
                                                  <m:sty m:val="p"/>
                                                </m:rPr>
                                                <w:rPr>
                                                  <w:rFonts w:ascii="Cambria Math" w:eastAsia="Cambria Math" w:hAnsi="Cambria Math"/>
                                                  <w:szCs w:val="20"/>
                                                </w:rPr>
                                                <m:t>i-1</m:t>
                                              </m:r>
                                            </m:e>
                                          </m:d>
                                          <m:r>
                                            <m:rPr>
                                              <m:sty m:val="p"/>
                                            </m:rPr>
                                            <w:rPr>
                                              <w:rFonts w:ascii="Cambria Math" w:eastAsia="Cambria Math" w:hAnsi="Cambria Math"/>
                                              <w:szCs w:val="20"/>
                                            </w:rPr>
                                            <m:t>→</m:t>
                                          </m:r>
                                          <m:r>
                                            <m:rPr>
                                              <m:sty m:val="p"/>
                                            </m:rPr>
                                            <w:rPr>
                                              <w:rFonts w:ascii="Cambria Math" w:hAnsi="Cambria Math"/>
                                              <w:szCs w:val="20"/>
                                            </w:rPr>
                                            <m:t>i</m:t>
                                          </m:r>
                                        </m:sup>
                                      </m:sSup>
                                      <m:r>
                                        <m:rPr>
                                          <m:sty m:val="p"/>
                                        </m:rPr>
                                        <w:rPr>
                                          <w:rFonts w:ascii="Cambria Math" w:eastAsia="Cambria Math" w:hAnsi="Cambria Math"/>
                                          <w:szCs w:val="20"/>
                                        </w:rPr>
                                        <m:t> </m:t>
                                      </m:r>
                                      <m:sSub>
                                        <m:sSubPr>
                                          <m:ctrlPr>
                                            <w:rPr>
                                              <w:rFonts w:ascii="Cambria Math" w:hAnsi="Cambria Math"/>
                                              <w:szCs w:val="20"/>
                                            </w:rPr>
                                          </m:ctrlPr>
                                        </m:sSubPr>
                                        <m:e>
                                          <m:r>
                                            <m:rPr>
                                              <m:sty m:val="p"/>
                                            </m:rPr>
                                            <w:rPr>
                                              <w:rFonts w:ascii="Cambria Math" w:hAnsi="Cambria Math"/>
                                              <w:szCs w:val="20"/>
                                            </w:rPr>
                                            <m:t>S</m:t>
                                          </m:r>
                                        </m:e>
                                        <m:sub>
                                          <m:d>
                                            <m:dPr>
                                              <m:ctrlPr>
                                                <w:rPr>
                                                  <w:rFonts w:ascii="Cambria Math" w:hAnsi="Cambria Math"/>
                                                  <w:i/>
                                                  <w:szCs w:val="20"/>
                                                </w:rPr>
                                              </m:ctrlPr>
                                            </m:dPr>
                                            <m:e>
                                              <m:r>
                                                <m:rPr>
                                                  <m:sty m:val="p"/>
                                                </m:rPr>
                                                <w:rPr>
                                                  <w:rFonts w:ascii="Cambria Math" w:hAnsi="Cambria Math"/>
                                                  <w:szCs w:val="20"/>
                                                </w:rPr>
                                                <m:t>i-1</m:t>
                                              </m:r>
                                            </m:e>
                                          </m:d>
                                        </m:sub>
                                      </m:sSub>
                                      <m:r>
                                        <m:rPr>
                                          <m:sty m:val="p"/>
                                        </m:rPr>
                                        <w:rPr>
                                          <w:rFonts w:ascii="Cambria Math" w:eastAsia="Cambria Math" w:hAnsi="Cambria Math"/>
                                          <w:szCs w:val="20"/>
                                        </w:rPr>
                                        <m:t>+</m:t>
                                      </m:r>
                                      <m:sSup>
                                        <m:sSupPr>
                                          <m:ctrlPr>
                                            <w:rPr>
                                              <w:rFonts w:ascii="Cambria Math" w:eastAsia="Cambria Math" w:hAnsi="Cambria Math"/>
                                              <w:szCs w:val="20"/>
                                            </w:rPr>
                                          </m:ctrlPr>
                                        </m:sSupPr>
                                        <m:e>
                                          <m:r>
                                            <m:rPr>
                                              <m:sty m:val="p"/>
                                            </m:rPr>
                                            <w:rPr>
                                              <w:rFonts w:ascii="Cambria Math" w:eastAsia="Cambria Math" w:hAnsi="Cambria Math"/>
                                              <w:szCs w:val="20"/>
                                            </w:rPr>
                                            <m:t>B</m:t>
                                          </m:r>
                                        </m:e>
                                        <m:sup>
                                          <m:d>
                                            <m:dPr>
                                              <m:ctrlPr>
                                                <w:rPr>
                                                  <w:rFonts w:ascii="Cambria Math" w:eastAsia="Cambria Math" w:hAnsi="Cambria Math"/>
                                                  <w:i/>
                                                  <w:szCs w:val="20"/>
                                                </w:rPr>
                                              </m:ctrlPr>
                                            </m:dPr>
                                            <m:e>
                                              <m:r>
                                                <m:rPr>
                                                  <m:sty m:val="p"/>
                                                </m:rPr>
                                                <w:rPr>
                                                  <w:rFonts w:ascii="Cambria Math" w:eastAsia="Cambria Math" w:hAnsi="Cambria Math"/>
                                                  <w:szCs w:val="20"/>
                                                </w:rPr>
                                                <m:t>i-1</m:t>
                                              </m:r>
                                            </m:e>
                                          </m:d>
                                          <m:r>
                                            <m:rPr>
                                              <m:sty m:val="p"/>
                                            </m:rPr>
                                            <w:rPr>
                                              <w:rFonts w:ascii="Cambria Math" w:eastAsia="Cambria Math" w:hAnsi="Cambria Math"/>
                                              <w:szCs w:val="20"/>
                                            </w:rPr>
                                            <m:t>→</m:t>
                                          </m:r>
                                          <m:r>
                                            <m:rPr>
                                              <m:sty m:val="p"/>
                                            </m:rPr>
                                            <w:rPr>
                                              <w:rFonts w:ascii="Cambria Math" w:hAnsi="Cambria Math"/>
                                              <w:szCs w:val="20"/>
                                            </w:rPr>
                                            <m:t>i</m:t>
                                          </m:r>
                                        </m:sup>
                                      </m:sSup>
                                      <m:ctrlPr>
                                        <w:rPr>
                                          <w:rFonts w:ascii="Cambria Math" w:hAnsi="Cambria Math"/>
                                          <w:szCs w:val="20"/>
                                        </w:rPr>
                                      </m:ctrlPr>
                                    </m:e>
                                  </m:d>
                                  <m:r>
                                    <m:rPr>
                                      <m:sty m:val="p"/>
                                    </m:rPr>
                                    <w:rPr>
                                      <w:rFonts w:ascii="Cambria Math" w:hAnsi="Cambria Math"/>
                                      <w:szCs w:val="20"/>
                                    </w:rPr>
                                    <m:t xml:space="preserve"> +</m:t>
                                  </m:r>
                                  <m:ctrlPr>
                                    <w:rPr>
                                      <w:rFonts w:ascii="Cambria Math" w:hAnsi="Cambria Math"/>
                                      <w:szCs w:val="20"/>
                                    </w:rPr>
                                  </m:ctrlPr>
                                </m:e>
                                <m:e>
                                  <m:r>
                                    <m:rPr>
                                      <m:sty m:val="p"/>
                                    </m:rPr>
                                    <w:rPr>
                                      <w:rFonts w:ascii="Cambria Math" w:hAnsi="Cambria Math"/>
                                      <w:szCs w:val="20"/>
                                    </w:rPr>
                                    <m:t xml:space="preserve">          </m:t>
                                  </m:r>
                                  <m:ctrlPr>
                                    <w:rPr>
                                      <w:rFonts w:ascii="Cambria Math" w:eastAsia="Cambria Math" w:hAnsi="Cambria Math"/>
                                      <w:i/>
                                      <w:szCs w:val="20"/>
                                    </w:rPr>
                                  </m:ctrlPr>
                                </m:e>
                                <m:e>
                                  <m:r>
                                    <m:rPr>
                                      <m:sty m:val="p"/>
                                    </m:rPr>
                                    <w:rPr>
                                      <w:rFonts w:ascii="Cambria Math" w:hAnsi="Cambria Math"/>
                                      <w:szCs w:val="20"/>
                                    </w:rPr>
                                    <m:t>O(</m:t>
                                  </m:r>
                                  <m:sSup>
                                    <m:sSupPr>
                                      <m:ctrlPr>
                                        <w:rPr>
                                          <w:rFonts w:ascii="Cambria Math" w:eastAsia="Cambria Math" w:hAnsi="Cambria Math"/>
                                          <w:szCs w:val="20"/>
                                        </w:rPr>
                                      </m:ctrlPr>
                                    </m:sSupPr>
                                    <m:e>
                                      <m:r>
                                        <m:rPr>
                                          <m:sty m:val="p"/>
                                        </m:rPr>
                                        <w:rPr>
                                          <w:rFonts w:ascii="Cambria Math" w:eastAsia="Cambria Math" w:hAnsi="Cambria Math"/>
                                          <w:szCs w:val="20"/>
                                        </w:rPr>
                                        <m:t>A</m:t>
                                      </m:r>
                                    </m:e>
                                    <m:sup>
                                      <m:r>
                                        <m:rPr>
                                          <m:sty m:val="p"/>
                                        </m:rPr>
                                        <w:rPr>
                                          <w:rFonts w:ascii="Cambria Math" w:eastAsia="Cambria Math" w:hAnsi="Cambria Math"/>
                                          <w:szCs w:val="20"/>
                                        </w:rPr>
                                        <m:t>(i+1)→</m:t>
                                      </m:r>
                                      <m:r>
                                        <m:rPr>
                                          <m:sty m:val="p"/>
                                        </m:rPr>
                                        <w:rPr>
                                          <w:rFonts w:ascii="Cambria Math" w:hAnsi="Cambria Math"/>
                                          <w:szCs w:val="20"/>
                                        </w:rPr>
                                        <m:t>i</m:t>
                                      </m:r>
                                    </m:sup>
                                  </m:sSup>
                                  <m:r>
                                    <m:rPr>
                                      <m:sty m:val="p"/>
                                    </m:rPr>
                                    <w:rPr>
                                      <w:rFonts w:ascii="Cambria Math" w:eastAsia="Cambria Math" w:hAnsi="Cambria Math"/>
                                      <w:szCs w:val="20"/>
                                    </w:rPr>
                                    <m:t> </m:t>
                                  </m:r>
                                  <m:sSub>
                                    <m:sSubPr>
                                      <m:ctrlPr>
                                        <w:rPr>
                                          <w:rFonts w:ascii="Cambria Math" w:hAnsi="Cambria Math"/>
                                          <w:szCs w:val="20"/>
                                        </w:rPr>
                                      </m:ctrlPr>
                                    </m:sSubPr>
                                    <m:e>
                                      <m:r>
                                        <m:rPr>
                                          <m:sty m:val="p"/>
                                        </m:rPr>
                                        <w:rPr>
                                          <w:rFonts w:ascii="Cambria Math" w:hAnsi="Cambria Math"/>
                                          <w:szCs w:val="20"/>
                                        </w:rPr>
                                        <m:t>S</m:t>
                                      </m:r>
                                    </m:e>
                                    <m:sub>
                                      <m:d>
                                        <m:dPr>
                                          <m:ctrlPr>
                                            <w:rPr>
                                              <w:rFonts w:ascii="Cambria Math" w:hAnsi="Cambria Math"/>
                                              <w:i/>
                                              <w:szCs w:val="20"/>
                                            </w:rPr>
                                          </m:ctrlPr>
                                        </m:dPr>
                                        <m:e>
                                          <m:r>
                                            <m:rPr>
                                              <m:sty m:val="p"/>
                                            </m:rPr>
                                            <w:rPr>
                                              <w:rFonts w:ascii="Cambria Math" w:hAnsi="Cambria Math"/>
                                              <w:szCs w:val="20"/>
                                            </w:rPr>
                                            <m:t>i+1</m:t>
                                          </m:r>
                                        </m:e>
                                      </m:d>
                                    </m:sub>
                                  </m:sSub>
                                  <m:r>
                                    <m:rPr>
                                      <m:sty m:val="p"/>
                                    </m:rPr>
                                    <w:rPr>
                                      <w:rFonts w:ascii="Cambria Math" w:eastAsia="Cambria Math" w:hAnsi="Cambria Math"/>
                                      <w:szCs w:val="20"/>
                                    </w:rPr>
                                    <m:t>+</m:t>
                                  </m:r>
                                  <m:sSup>
                                    <m:sSupPr>
                                      <m:ctrlPr>
                                        <w:rPr>
                                          <w:rFonts w:ascii="Cambria Math" w:eastAsia="Cambria Math" w:hAnsi="Cambria Math"/>
                                          <w:szCs w:val="20"/>
                                        </w:rPr>
                                      </m:ctrlPr>
                                    </m:sSupPr>
                                    <m:e>
                                      <m:r>
                                        <m:rPr>
                                          <m:sty m:val="p"/>
                                        </m:rPr>
                                        <w:rPr>
                                          <w:rFonts w:ascii="Cambria Math" w:eastAsia="Cambria Math" w:hAnsi="Cambria Math"/>
                                          <w:szCs w:val="20"/>
                                        </w:rPr>
                                        <m:t>B</m:t>
                                      </m:r>
                                    </m:e>
                                    <m:sup>
                                      <m:r>
                                        <m:rPr>
                                          <m:sty m:val="p"/>
                                        </m:rPr>
                                        <w:rPr>
                                          <w:rFonts w:ascii="Cambria Math" w:eastAsia="Cambria Math" w:hAnsi="Cambria Math"/>
                                          <w:szCs w:val="20"/>
                                        </w:rPr>
                                        <m:t>(i+1)→</m:t>
                                      </m:r>
                                      <m:r>
                                        <m:rPr>
                                          <m:sty m:val="p"/>
                                        </m:rPr>
                                        <w:rPr>
                                          <w:rFonts w:ascii="Cambria Math" w:hAnsi="Cambria Math"/>
                                          <w:szCs w:val="20"/>
                                        </w:rPr>
                                        <m:t>i</m:t>
                                      </m:r>
                                    </m:sup>
                                  </m:sSup>
                                  <m:r>
                                    <m:rPr>
                                      <m:sty m:val="p"/>
                                    </m:rPr>
                                    <w:rPr>
                                      <w:rFonts w:ascii="Cambria Math" w:eastAsia="Cambria Math" w:hAnsi="Cambria Math"/>
                                      <w:szCs w:val="20"/>
                                    </w:rPr>
                                    <m:t>)</m:t>
                                  </m:r>
                                  <m:ctrlPr>
                                    <w:rPr>
                                      <w:rFonts w:ascii="Cambria Math" w:eastAsia="Cambria Math" w:hAnsi="Cambria Math"/>
                                      <w:i/>
                                      <w:szCs w:val="20"/>
                                    </w:rPr>
                                  </m:ctrlPr>
                                </m:e>
                              </m:eqArr>
                            </m:e>
                          </m:d>
                        </m:e>
                      </m:nary>
                    </m:e>
                  </m:nary>
                </m:num>
                <m:den>
                  <m:r>
                    <m:rPr>
                      <m:sty m:val="p"/>
                    </m:rPr>
                    <w:rPr>
                      <w:rFonts w:ascii="Cambria Math" w:eastAsia="Cambria Math" w:hAnsi="Cambria Math"/>
                      <w:szCs w:val="20"/>
                    </w:rPr>
                    <m:t>2</m:t>
                  </m:r>
                </m:den>
              </m:f>
            </m:oMath>
            <w:r w:rsidRPr="007343CC">
              <w:rPr>
                <w:rFonts w:ascii="Times New Roman" w:hAnsi="Times New Roman"/>
                <w:color w:val="000000" w:themeColor="text1"/>
                <w:szCs w:val="20"/>
              </w:rPr>
              <w:fldChar w:fldCharType="end"/>
            </w:r>
            <w:r w:rsidRPr="007343CC">
              <w:rPr>
                <w:rFonts w:ascii="Times New Roman" w:hAnsi="Times New Roman"/>
                <w:color w:val="000000" w:themeColor="text1"/>
                <w:szCs w:val="20"/>
              </w:rPr>
              <w:t xml:space="preserve">, </w:t>
            </w:r>
          </w:p>
        </w:tc>
        <w:tc>
          <w:tcPr>
            <w:tcW w:w="431" w:type="dxa"/>
            <w:vAlign w:val="center"/>
          </w:tcPr>
          <w:p w14:paraId="6E47C8C7" w14:textId="77777777" w:rsidR="007343CC" w:rsidRPr="007343CC" w:rsidRDefault="007343CC" w:rsidP="002748DA">
            <w:pPr>
              <w:pStyle w:val="MDPI3aequationnumber"/>
              <w:spacing w:before="0" w:after="0" w:line="260" w:lineRule="atLeast"/>
              <w:jc w:val="center"/>
              <w:rPr>
                <w:rFonts w:ascii="Times New Roman" w:hAnsi="Times New Roman"/>
                <w:color w:val="000000" w:themeColor="text1"/>
                <w:szCs w:val="20"/>
              </w:rPr>
            </w:pPr>
            <w:r w:rsidRPr="007343CC">
              <w:rPr>
                <w:rFonts w:ascii="Times New Roman" w:hAnsi="Times New Roman"/>
                <w:color w:val="000000" w:themeColor="text1"/>
                <w:szCs w:val="20"/>
              </w:rPr>
              <w:t>(3)</w:t>
            </w:r>
          </w:p>
        </w:tc>
      </w:tr>
    </w:tbl>
    <w:p w14:paraId="5F19B45E" w14:textId="795FC6E3" w:rsidR="00FD7FDC" w:rsidRDefault="007343CC" w:rsidP="00FD7FDC">
      <w:pPr>
        <w:kinsoku w:val="0"/>
        <w:overflowPunct w:val="0"/>
        <w:snapToGrid w:val="0"/>
        <w:spacing w:beforeLines="50" w:before="120"/>
        <w:rPr>
          <w:lang w:bidi="en-US"/>
        </w:rPr>
      </w:pPr>
      <w:r w:rsidRPr="00FD7FDC">
        <w:rPr>
          <w:color w:val="000000" w:themeColor="text1"/>
        </w:rPr>
        <w:t xml:space="preserve">where, </w:t>
      </w: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O</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O</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O</m:t>
            </m:r>
          </m:e>
          <m:sub>
            <m:r>
              <w:rPr>
                <w:rFonts w:ascii="Cambria Math" w:hAnsi="Cambria Math"/>
              </w:rPr>
              <m:t>n</m:t>
            </m:r>
          </m:sub>
        </m:sSub>
        <m:r>
          <m:rPr>
            <m:sty m:val="p"/>
          </m:rPr>
          <w:rPr>
            <w:rFonts w:ascii="Cambria Math" w:hAnsi="Cambria Math"/>
          </w:rPr>
          <m:t>)</m:t>
        </m:r>
      </m:oMath>
      <w:r w:rsidRPr="00FD7FDC">
        <w:rPr>
          <w:color w:val="000000" w:themeColor="text1"/>
        </w:rPr>
        <w:t xml:space="preserve"> is error function in this study with the</w:t>
      </w:r>
      <w:r w:rsidRPr="00FD7FDC">
        <w:t xml:space="preserve"> objective to obtain the minimum total error value of each image against other images in the dataset. Then </w:t>
      </w:r>
      <m:oMath>
        <m:r>
          <m:rPr>
            <m:sty m:val="bi"/>
          </m:rPr>
          <w:rPr>
            <w:rFonts w:ascii="Cambria Math" w:hAnsi="Cambria Math"/>
          </w:rPr>
          <m:t>A</m:t>
        </m:r>
        <m:r>
          <m:rPr>
            <m:sty m:val="p"/>
          </m:rPr>
          <w:rPr>
            <w:rFonts w:ascii="Cambria Math" w:hAnsi="Cambria Math"/>
          </w:rPr>
          <m:t>=</m:t>
        </m:r>
        <m:d>
          <m:dPr>
            <m:begChr m:val="{"/>
            <m:endChr m:val="}"/>
            <m:ctrlPr>
              <w:rPr>
                <w:rFonts w:ascii="Cambria Math" w:hAnsi="Cambria Math"/>
              </w:rPr>
            </m:ctrlPr>
          </m:dPr>
          <m:e>
            <m:sSup>
              <m:sSupPr>
                <m:ctrlPr>
                  <w:rPr>
                    <w:rFonts w:ascii="Cambria Math" w:hAnsi="Cambria Math"/>
                  </w:rPr>
                </m:ctrlPr>
              </m:sSupPr>
              <m:e>
                <m:r>
                  <w:rPr>
                    <w:rFonts w:ascii="Cambria Math" w:hAnsi="Cambria Math"/>
                  </w:rPr>
                  <m:t>α</m:t>
                </m:r>
              </m:e>
              <m:sup>
                <m:r>
                  <m:rPr>
                    <m:sty m:val="p"/>
                  </m:rPr>
                  <w:rPr>
                    <w:rFonts w:ascii="Cambria Math" w:hAnsi="Cambria Math"/>
                  </w:rPr>
                  <m:t>1→2</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α</m:t>
                </m:r>
              </m:e>
              <m:sup>
                <m:r>
                  <m:rPr>
                    <m:sty m:val="p"/>
                  </m:rPr>
                  <w:rPr>
                    <w:rFonts w:ascii="Cambria Math" w:hAnsi="Cambria Math"/>
                  </w:rPr>
                  <m:t>1→3</m:t>
                </m:r>
              </m:sup>
            </m:sSup>
            <m:r>
              <m:rPr>
                <m:sty m:val="p"/>
              </m:rPr>
              <w:rPr>
                <w:rFonts w:ascii="Cambria Math" w:hAnsi="Cambria Math"/>
              </w:rPr>
              <m:t>;… ;</m:t>
            </m:r>
            <m:sSup>
              <m:sSupPr>
                <m:ctrlPr>
                  <w:rPr>
                    <w:rFonts w:ascii="Cambria Math" w:hAnsi="Cambria Math"/>
                  </w:rPr>
                </m:ctrlPr>
              </m:sSupPr>
              <m:e>
                <m:r>
                  <w:rPr>
                    <w:rFonts w:ascii="Cambria Math" w:hAnsi="Cambria Math"/>
                  </w:rPr>
                  <m:t>α</m:t>
                </m:r>
              </m:e>
              <m:sup>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sup>
            </m:sSup>
          </m:e>
        </m:d>
      </m:oMath>
      <w:r w:rsidRPr="00FD7FDC">
        <w:t xml:space="preserve"> and </w:t>
      </w:r>
      <m:oMath>
        <m:r>
          <m:rPr>
            <m:sty m:val="bi"/>
          </m:rPr>
          <w:rPr>
            <w:rFonts w:ascii="Cambria Math" w:hAnsi="Cambria Math"/>
          </w:rPr>
          <m:t>B</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 xml:space="preserve"> </m:t>
            </m:r>
            <m:sSup>
              <m:sSupPr>
                <m:ctrlPr>
                  <w:rPr>
                    <w:rFonts w:ascii="Cambria Math" w:hAnsi="Cambria Math"/>
                  </w:rPr>
                </m:ctrlPr>
              </m:sSupPr>
              <m:e>
                <m:r>
                  <w:rPr>
                    <w:rFonts w:ascii="Cambria Math" w:hAnsi="Cambria Math"/>
                  </w:rPr>
                  <m:t>β</m:t>
                </m:r>
              </m:e>
              <m:sup>
                <m:r>
                  <m:rPr>
                    <m:sty m:val="p"/>
                  </m:rPr>
                  <w:rPr>
                    <w:rFonts w:ascii="Cambria Math" w:hAnsi="Cambria Math"/>
                  </w:rPr>
                  <m:t>1→2</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β</m:t>
                </m:r>
              </m:e>
              <m:sup>
                <m:r>
                  <m:rPr>
                    <m:sty m:val="p"/>
                  </m:rPr>
                  <w:rPr>
                    <w:rFonts w:ascii="Cambria Math" w:hAnsi="Cambria Math"/>
                  </w:rPr>
                  <m:t>1→3</m:t>
                </m:r>
              </m:sup>
            </m:sSup>
            <m:r>
              <m:rPr>
                <m:sty m:val="p"/>
              </m:rPr>
              <w:rPr>
                <w:rFonts w:ascii="Cambria Math" w:hAnsi="Cambria Math"/>
              </w:rPr>
              <m:t>; …;</m:t>
            </m:r>
            <m:sSup>
              <m:sSupPr>
                <m:ctrlPr>
                  <w:rPr>
                    <w:rFonts w:ascii="Cambria Math" w:hAnsi="Cambria Math"/>
                  </w:rPr>
                </m:ctrlPr>
              </m:sSupPr>
              <m:e>
                <m:r>
                  <w:rPr>
                    <w:rFonts w:ascii="Cambria Math" w:hAnsi="Cambria Math"/>
                  </w:rPr>
                  <m:t>β</m:t>
                </m:r>
              </m:e>
              <m:sup>
                <m:r>
                  <m:rPr>
                    <m:sty m:val="p"/>
                  </m:rPr>
                  <w:rPr>
                    <w:rFonts w:ascii="Cambria Math" w:hAnsi="Cambria Math"/>
                  </w:rPr>
                  <m:t>(</m:t>
                </m:r>
                <m:r>
                  <w:rPr>
                    <w:rFonts w:ascii="Cambria Math" w:hAnsi="Cambria Math"/>
                  </w:rPr>
                  <m:t>n</m:t>
                </m:r>
                <m:r>
                  <m:rPr>
                    <m:sty m:val="p"/>
                  </m:rPr>
                  <w:rPr>
                    <w:rFonts w:ascii="Cambria Math" w:hAnsi="Cambria Math"/>
                  </w:rPr>
                  <m:t>-1)→</m:t>
                </m:r>
                <m:r>
                  <w:rPr>
                    <w:rFonts w:ascii="Cambria Math" w:hAnsi="Cambria Math"/>
                  </w:rPr>
                  <m:t>n</m:t>
                </m:r>
              </m:sup>
            </m:sSup>
          </m:e>
        </m:d>
      </m:oMath>
      <w:r w:rsidRPr="00FD7FDC">
        <w:t xml:space="preserve"> are the set of slope and intercept components of the normalization. These sets </w:t>
      </w:r>
      <m:oMath>
        <m:r>
          <m:rPr>
            <m:sty m:val="p"/>
          </m:rPr>
          <w:rPr>
            <w:rFonts w:ascii="Cambria Math" w:hAnsi="Cambria Math"/>
          </w:rPr>
          <m:t>(</m:t>
        </m:r>
        <m:r>
          <m:rPr>
            <m:sty m:val="bi"/>
          </m:rPr>
          <w:rPr>
            <w:rFonts w:ascii="Cambria Math" w:hAnsi="Cambria Math"/>
          </w:rPr>
          <m:t>A</m:t>
        </m:r>
        <m:r>
          <m:rPr>
            <m:sty m:val="p"/>
          </m:rPr>
          <w:rPr>
            <w:rFonts w:ascii="Cambria Math" w:hAnsi="Cambria Math"/>
          </w:rPr>
          <m:t xml:space="preserve">, </m:t>
        </m:r>
        <m:r>
          <m:rPr>
            <m:sty m:val="bi"/>
          </m:rPr>
          <w:rPr>
            <w:rFonts w:ascii="Cambria Math" w:hAnsi="Cambria Math"/>
          </w:rPr>
          <m:t>B</m:t>
        </m:r>
        <m:r>
          <m:rPr>
            <m:sty m:val="p"/>
          </m:rPr>
          <w:rPr>
            <w:rFonts w:ascii="Cambria Math" w:hAnsi="Cambria Math"/>
          </w:rPr>
          <m:t>)</m:t>
        </m:r>
      </m:oMath>
      <w:r w:rsidRPr="00FD7FDC">
        <w:t xml:space="preserve"> will be updated through a relaxation iteration process until the minimum error value is obtained.</w:t>
      </w:r>
      <w:r w:rsidR="00FD7FDC" w:rsidRPr="00FD7FDC">
        <w:rPr>
          <w:rFonts w:ascii="Palatino Linotype" w:eastAsia="Times New Roman" w:hAnsi="Palatino Linotype"/>
          <w:snapToGrid w:val="0"/>
          <w:color w:val="000000"/>
          <w:szCs w:val="22"/>
          <w:lang w:val="en-US" w:eastAsia="de-DE" w:bidi="en-US"/>
        </w:rPr>
        <w:t xml:space="preserve"> </w:t>
      </w:r>
      <w:r w:rsidR="00FD7FDC" w:rsidRPr="00FD7FDC">
        <w:rPr>
          <w:lang w:bidi="en-US"/>
        </w:rPr>
        <w:t xml:space="preserve">Then, </w:t>
      </w:r>
      <m:oMath>
        <m:r>
          <m:rPr>
            <m:sty m:val="bi"/>
          </m:rPr>
          <w:rPr>
            <w:rFonts w:ascii="Cambria Math" w:hAnsi="Cambria Math"/>
            <w:lang w:bidi="en-US"/>
          </w:rPr>
          <m:t>O</m:t>
        </m:r>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1</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O</m:t>
            </m:r>
          </m:e>
          <m:sub>
            <m:r>
              <m:rPr>
                <m:sty m:val="p"/>
              </m:rPr>
              <w:rPr>
                <w:rFonts w:ascii="Cambria Math" w:hAnsi="Cambria Math"/>
                <w:lang w:bidi="en-US"/>
              </w:rPr>
              <m:t>2</m:t>
            </m:r>
          </m:sub>
        </m:sSub>
        <m:r>
          <m:rPr>
            <m:sty m:val="p"/>
          </m:rPr>
          <w:rPr>
            <w:rFonts w:ascii="Cambria Math" w:hAnsi="Cambria Math"/>
            <w:lang w:bidi="en-US"/>
          </w:rPr>
          <m:t>,…,</m:t>
        </m:r>
        <m:sSub>
          <m:sSubPr>
            <m:ctrlPr>
              <w:rPr>
                <w:rFonts w:ascii="Cambria Math" w:hAnsi="Cambria Math"/>
                <w:lang w:bidi="en-US"/>
              </w:rPr>
            </m:ctrlPr>
          </m:sSubPr>
          <m:e>
            <m:r>
              <w:rPr>
                <w:rFonts w:ascii="Cambria Math" w:hAnsi="Cambria Math"/>
                <w:lang w:bidi="en-US"/>
              </w:rPr>
              <m:t>O</m:t>
            </m:r>
          </m:e>
          <m:sub>
            <m:r>
              <w:rPr>
                <w:rFonts w:ascii="Cambria Math" w:hAnsi="Cambria Math"/>
                <w:lang w:bidi="en-US"/>
              </w:rPr>
              <m:t>n</m:t>
            </m:r>
          </m:sub>
        </m:sSub>
        <m:r>
          <m:rPr>
            <m:sty m:val="p"/>
          </m:rPr>
          <w:rPr>
            <w:rFonts w:ascii="Cambria Math" w:hAnsi="Cambria Math"/>
            <w:lang w:bidi="en-US"/>
          </w:rPr>
          <m:t>}</m:t>
        </m:r>
      </m:oMath>
      <w:r w:rsidR="00FD7FDC" w:rsidRPr="00FD7FDC">
        <w:rPr>
          <w:lang w:bidi="en-US"/>
        </w:rPr>
        <w:t xml:space="preserve"> represents the PIFs masked images that formulated in Eq</w:t>
      </w:r>
      <w:r w:rsidR="00FD7FDC">
        <w:rPr>
          <w:lang w:bidi="en-US"/>
        </w:rPr>
        <w:t>.</w:t>
      </w:r>
      <w:r w:rsidR="00FD7FDC" w:rsidRPr="00FD7FDC">
        <w:rPr>
          <w:lang w:bidi="en-US"/>
        </w:rPr>
        <w:t xml:space="preserve"> </w:t>
      </w:r>
      <w:r w:rsidR="00FD7FDC">
        <w:rPr>
          <w:lang w:bidi="en-US"/>
        </w:rPr>
        <w:t>(4)</w:t>
      </w:r>
      <w:r w:rsidR="00FD7FDC" w:rsidRPr="00FD7FDC">
        <w:rPr>
          <w:lang w:bidi="en-US"/>
        </w:rPr>
        <w:t xml:space="preserve"> and Eq</w:t>
      </w:r>
      <w:r w:rsidR="00FD7FDC">
        <w:rPr>
          <w:lang w:bidi="en-US"/>
        </w:rPr>
        <w:t>. (5)</w:t>
      </w:r>
      <w:r w:rsidR="00FD7FDC" w:rsidRPr="00FD7FDC">
        <w:rPr>
          <w:lang w:bidi="en-US"/>
        </w:rPr>
        <w:t>. These are masked images that have been generated using common PIFs, which is a selected PIFs that is shared among multiple images and can be obtained by combining multiple PIFs selection results.</w:t>
      </w:r>
      <w:r w:rsidR="00E5585A">
        <w:rPr>
          <w:lang w:bidi="en-US"/>
        </w:rPr>
        <w:t xml:space="preserve"> </w:t>
      </w:r>
    </w:p>
    <w:tbl>
      <w:tblPr>
        <w:tblW w:w="7859" w:type="dxa"/>
        <w:tblInd w:w="1134" w:type="dxa"/>
        <w:tblCellMar>
          <w:left w:w="0" w:type="dxa"/>
          <w:right w:w="0" w:type="dxa"/>
        </w:tblCellMar>
        <w:tblLook w:val="04A0" w:firstRow="1" w:lastRow="0" w:firstColumn="1" w:lastColumn="0" w:noHBand="0" w:noVBand="1"/>
      </w:tblPr>
      <w:tblGrid>
        <w:gridCol w:w="7428"/>
        <w:gridCol w:w="431"/>
      </w:tblGrid>
      <w:tr w:rsidR="00FD7FDC" w:rsidRPr="007343CC" w14:paraId="7AAAF56F" w14:textId="77777777" w:rsidTr="002748DA">
        <w:tc>
          <w:tcPr>
            <w:tcW w:w="7428" w:type="dxa"/>
          </w:tcPr>
          <w:p w14:paraId="51CDB1C8" w14:textId="3908EBC9" w:rsidR="00FD7FDC" w:rsidRPr="007343CC" w:rsidRDefault="00854290" w:rsidP="00854290">
            <w:pPr>
              <w:pStyle w:val="MDPI39equation"/>
              <w:spacing w:before="0" w:after="0"/>
              <w:ind w:left="0"/>
              <w:rPr>
                <w:rFonts w:ascii="Times New Roman" w:hAnsi="Times New Roman"/>
                <w:color w:val="000000" w:themeColor="text1"/>
                <w:szCs w:val="20"/>
              </w:rPr>
            </w:pPr>
            <m:oMath>
              <m:r>
                <w:rPr>
                  <w:rFonts w:ascii="Cambria Math" w:hAnsi="Cambria Math"/>
                </w:rPr>
                <m:t xml:space="preserve">PIFs </m:t>
              </m:r>
              <m:d>
                <m:dPr>
                  <m:ctrlPr>
                    <w:rPr>
                      <w:rFonts w:ascii="Cambria Math" w:hAnsi="Cambria Math"/>
                      <w:i/>
                    </w:rPr>
                  </m:ctrlPr>
                </m:dPr>
                <m:e>
                  <m:r>
                    <w:rPr>
                      <w:rFonts w:ascii="Cambria Math" w:hAnsi="Cambria Math"/>
                    </w:rPr>
                    <m:t>common</m:t>
                  </m:r>
                </m:e>
              </m:d>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PIFs</m:t>
                      </m:r>
                    </m:e>
                  </m:d>
                </m:e>
                <m:sub>
                  <m:r>
                    <w:rPr>
                      <w:rFonts w:ascii="Cambria Math" w:hAnsi="Cambria Math"/>
                    </w:rPr>
                    <m:t>1</m:t>
                  </m:r>
                </m:sub>
              </m:sSub>
              <m:r>
                <w:rPr>
                  <w:rFonts w:ascii="Cambria Math" w:hAnsi="Cambria Math"/>
                </w:rPr>
                <m:t xml:space="preserve">* </m:t>
              </m:r>
              <m:sSub>
                <m:sSubPr>
                  <m:ctrlPr>
                    <w:rPr>
                      <w:rFonts w:ascii="Cambria Math" w:hAnsi="Cambria Math"/>
                      <w:i/>
                    </w:rPr>
                  </m:ctrlPr>
                </m:sSubPr>
                <m:e>
                  <m:d>
                    <m:dPr>
                      <m:ctrlPr>
                        <w:rPr>
                          <w:rFonts w:ascii="Cambria Math" w:hAnsi="Cambria Math"/>
                          <w:i/>
                        </w:rPr>
                      </m:ctrlPr>
                    </m:dPr>
                    <m:e>
                      <m:r>
                        <w:rPr>
                          <w:rFonts w:ascii="Cambria Math" w:hAnsi="Cambria Math"/>
                        </w:rPr>
                        <m:t>PIFs</m:t>
                      </m:r>
                    </m:e>
                  </m:d>
                </m:e>
                <m:sub>
                  <m:r>
                    <w:rPr>
                      <w:rFonts w:ascii="Cambria Math" w:hAnsi="Cambria Math"/>
                    </w:rPr>
                    <m:t>…</m:t>
                  </m:r>
                </m:sub>
              </m:sSub>
              <m:r>
                <w:rPr>
                  <w:rFonts w:ascii="Cambria Math" w:hAnsi="Cambria Math"/>
                </w:rPr>
                <m:t xml:space="preserve">* </m:t>
              </m:r>
              <m:sSub>
                <m:sSubPr>
                  <m:ctrlPr>
                    <w:rPr>
                      <w:rFonts w:ascii="Cambria Math" w:hAnsi="Cambria Math"/>
                      <w:i/>
                    </w:rPr>
                  </m:ctrlPr>
                </m:sSubPr>
                <m:e>
                  <m:d>
                    <m:dPr>
                      <m:ctrlPr>
                        <w:rPr>
                          <w:rFonts w:ascii="Cambria Math" w:hAnsi="Cambria Math"/>
                          <w:i/>
                        </w:rPr>
                      </m:ctrlPr>
                    </m:dPr>
                    <m:e>
                      <m:r>
                        <w:rPr>
                          <w:rFonts w:ascii="Cambria Math" w:hAnsi="Cambria Math"/>
                        </w:rPr>
                        <m:t>PIFs</m:t>
                      </m:r>
                    </m:e>
                  </m:d>
                </m:e>
                <m:sub>
                  <m:r>
                    <w:rPr>
                      <w:rFonts w:ascii="Cambria Math" w:hAnsi="Cambria Math"/>
                    </w:rPr>
                    <m:t>n</m:t>
                  </m:r>
                </m:sub>
              </m:sSub>
            </m:oMath>
            <w:r w:rsidR="00FD7FDC" w:rsidRPr="007343CC">
              <w:rPr>
                <w:rFonts w:ascii="Times New Roman" w:hAnsi="Times New Roman"/>
                <w:color w:val="000000" w:themeColor="text1"/>
                <w:szCs w:val="20"/>
              </w:rPr>
              <w:t>,</w:t>
            </w:r>
          </w:p>
        </w:tc>
        <w:tc>
          <w:tcPr>
            <w:tcW w:w="431" w:type="dxa"/>
            <w:vAlign w:val="center"/>
          </w:tcPr>
          <w:p w14:paraId="5B2A23C4" w14:textId="67322518" w:rsidR="00FD7FDC" w:rsidRPr="007343CC" w:rsidRDefault="00FD7FDC" w:rsidP="002748DA">
            <w:pPr>
              <w:pStyle w:val="MDPI3aequationnumber"/>
              <w:spacing w:before="0" w:after="0" w:line="260" w:lineRule="atLeast"/>
              <w:jc w:val="center"/>
              <w:rPr>
                <w:rFonts w:ascii="Times New Roman" w:hAnsi="Times New Roman"/>
                <w:color w:val="000000" w:themeColor="text1"/>
                <w:szCs w:val="20"/>
              </w:rPr>
            </w:pPr>
            <w:r w:rsidRPr="007343CC">
              <w:rPr>
                <w:rFonts w:ascii="Times New Roman" w:hAnsi="Times New Roman"/>
                <w:color w:val="000000" w:themeColor="text1"/>
                <w:szCs w:val="20"/>
              </w:rPr>
              <w:t>(</w:t>
            </w:r>
            <w:r>
              <w:rPr>
                <w:rFonts w:ascii="Times New Roman" w:hAnsi="Times New Roman"/>
                <w:color w:val="000000" w:themeColor="text1"/>
                <w:szCs w:val="20"/>
              </w:rPr>
              <w:t>4</w:t>
            </w:r>
            <w:r w:rsidRPr="007343CC">
              <w:rPr>
                <w:rFonts w:ascii="Times New Roman" w:hAnsi="Times New Roman"/>
                <w:color w:val="000000" w:themeColor="text1"/>
                <w:szCs w:val="20"/>
              </w:rPr>
              <w:t>)</w:t>
            </w:r>
          </w:p>
        </w:tc>
      </w:tr>
      <w:tr w:rsidR="00FD7FDC" w:rsidRPr="007343CC" w14:paraId="01683E7A" w14:textId="77777777" w:rsidTr="002748DA">
        <w:tc>
          <w:tcPr>
            <w:tcW w:w="7428" w:type="dxa"/>
          </w:tcPr>
          <w:p w14:paraId="6AAE1DBB" w14:textId="661A5709" w:rsidR="00FD7FDC" w:rsidRPr="007343CC" w:rsidRDefault="00000000" w:rsidP="002748DA">
            <w:pPr>
              <w:pStyle w:val="MDPI39equation"/>
              <w:spacing w:before="0" w:after="0"/>
              <w:ind w:left="0"/>
              <w:rPr>
                <w:rFonts w:ascii="Times New Roman" w:hAnsi="Times New Roman"/>
                <w:color w:val="000000" w:themeColor="text1"/>
                <w:szCs w:val="20"/>
              </w:rPr>
            </w:pPr>
            <m:oMathPara>
              <m:oMath>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*PIFs </m:t>
                </m:r>
                <m:d>
                  <m:dPr>
                    <m:ctrlPr>
                      <w:rPr>
                        <w:rFonts w:ascii="Cambria Math" w:hAnsi="Cambria Math"/>
                        <w:i/>
                      </w:rPr>
                    </m:ctrlPr>
                  </m:dPr>
                  <m:e>
                    <m:r>
                      <w:rPr>
                        <w:rFonts w:ascii="Cambria Math" w:hAnsi="Cambria Math"/>
                      </w:rPr>
                      <m:t>common</m:t>
                    </m:r>
                  </m:e>
                </m:d>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t>
                    </m:r>
                  </m:sub>
                </m:sSub>
                <m:r>
                  <w:rPr>
                    <w:rFonts w:ascii="Cambria Math" w:hAnsi="Cambria Math"/>
                  </w:rPr>
                  <m:t xml:space="preserve">*PIFs </m:t>
                </m:r>
                <m:d>
                  <m:dPr>
                    <m:ctrlPr>
                      <w:rPr>
                        <w:rFonts w:ascii="Cambria Math" w:hAnsi="Cambria Math"/>
                        <w:i/>
                      </w:rPr>
                    </m:ctrlPr>
                  </m:dPr>
                  <m:e>
                    <m:r>
                      <w:rPr>
                        <w:rFonts w:ascii="Cambria Math" w:hAnsi="Cambria Math"/>
                      </w:rPr>
                      <m:t>common</m:t>
                    </m:r>
                  </m:e>
                </m:d>
                <m:r>
                  <w:rPr>
                    <w:rFonts w:ascii="Cambria Math" w:hAnsi="Cambria Math"/>
                  </w:rPr>
                  <m:t xml:space="preserve">; </m:t>
                </m:r>
                <m:sSub>
                  <m:sSubPr>
                    <m:ctrlPr>
                      <w:rPr>
                        <w:rFonts w:ascii="Cambria Math" w:hAnsi="Cambria Math"/>
                        <w:i/>
                      </w:rPr>
                    </m:ctrlPr>
                  </m:sSubPr>
                  <m:e>
                    <m:r>
                      <w:rPr>
                        <w:rFonts w:ascii="Cambria Math" w:hAnsi="Cambria Math"/>
                      </w:rPr>
                      <m:t>O</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*PIFs </m:t>
                </m:r>
                <m:d>
                  <m:dPr>
                    <m:ctrlPr>
                      <w:rPr>
                        <w:rFonts w:ascii="Cambria Math" w:hAnsi="Cambria Math"/>
                        <w:i/>
                      </w:rPr>
                    </m:ctrlPr>
                  </m:dPr>
                  <m:e>
                    <m:r>
                      <w:rPr>
                        <w:rFonts w:ascii="Cambria Math" w:hAnsi="Cambria Math"/>
                      </w:rPr>
                      <m:t>common</m:t>
                    </m:r>
                  </m:e>
                </m:d>
              </m:oMath>
            </m:oMathPara>
          </w:p>
        </w:tc>
        <w:tc>
          <w:tcPr>
            <w:tcW w:w="431" w:type="dxa"/>
            <w:vAlign w:val="center"/>
          </w:tcPr>
          <w:p w14:paraId="34B791FC" w14:textId="4F4DB8FF" w:rsidR="00FD7FDC" w:rsidRPr="007343CC" w:rsidRDefault="00FD7FDC" w:rsidP="002748DA">
            <w:pPr>
              <w:pStyle w:val="MDPI3aequationnumber"/>
              <w:spacing w:before="0" w:after="0" w:line="260" w:lineRule="atLeast"/>
              <w:jc w:val="center"/>
              <w:rPr>
                <w:rFonts w:ascii="Times New Roman" w:hAnsi="Times New Roman"/>
                <w:color w:val="000000" w:themeColor="text1"/>
                <w:szCs w:val="20"/>
              </w:rPr>
            </w:pPr>
            <w:r>
              <w:rPr>
                <w:rFonts w:ascii="Times New Roman" w:hAnsi="Times New Roman"/>
                <w:color w:val="000000" w:themeColor="text1"/>
                <w:szCs w:val="20"/>
              </w:rPr>
              <w:t>(5)</w:t>
            </w:r>
          </w:p>
        </w:tc>
      </w:tr>
    </w:tbl>
    <w:p w14:paraId="1BA5F2BC" w14:textId="4BEF137E" w:rsidR="009207EE" w:rsidRDefault="009207EE" w:rsidP="009E4CBD">
      <w:pPr>
        <w:widowControl w:val="0"/>
        <w:numPr>
          <w:ilvl w:val="0"/>
          <w:numId w:val="4"/>
        </w:numPr>
        <w:tabs>
          <w:tab w:val="clear" w:pos="1134"/>
        </w:tabs>
        <w:suppressAutoHyphens w:val="0"/>
        <w:kinsoku w:val="0"/>
        <w:overflowPunct w:val="0"/>
        <w:snapToGrid w:val="0"/>
        <w:spacing w:beforeLines="50" w:before="120"/>
        <w:rPr>
          <w:rFonts w:eastAsia="DFKai-SB"/>
          <w:b/>
        </w:rPr>
      </w:pPr>
      <w:r>
        <w:rPr>
          <w:rFonts w:eastAsia="DFKai-SB"/>
          <w:b/>
        </w:rPr>
        <w:t>Experimental Results</w:t>
      </w:r>
    </w:p>
    <w:p w14:paraId="64D2C7DA" w14:textId="3429E84D" w:rsidR="00A215BF" w:rsidRDefault="00A215BF" w:rsidP="00A215BF">
      <w:pPr>
        <w:widowControl w:val="0"/>
        <w:numPr>
          <w:ilvl w:val="1"/>
          <w:numId w:val="4"/>
        </w:numPr>
        <w:tabs>
          <w:tab w:val="clear" w:pos="1134"/>
        </w:tabs>
        <w:suppressAutoHyphens w:val="0"/>
        <w:kinsoku w:val="0"/>
        <w:overflowPunct w:val="0"/>
        <w:snapToGrid w:val="0"/>
        <w:spacing w:beforeLines="50" w:before="120"/>
        <w:ind w:left="426"/>
        <w:rPr>
          <w:rFonts w:eastAsia="DFKai-SB"/>
          <w:b/>
        </w:rPr>
      </w:pPr>
      <w:r>
        <w:rPr>
          <w:rFonts w:eastAsia="DFKai-SB"/>
          <w:b/>
        </w:rPr>
        <w:t>Qualitative Analysis</w:t>
      </w:r>
    </w:p>
    <w:p w14:paraId="07886C45" w14:textId="1FE901CB" w:rsidR="00211CBF" w:rsidRDefault="00211CBF" w:rsidP="00211CBF">
      <w:pPr>
        <w:widowControl w:val="0"/>
        <w:tabs>
          <w:tab w:val="clear" w:pos="1134"/>
        </w:tabs>
        <w:suppressAutoHyphens w:val="0"/>
        <w:kinsoku w:val="0"/>
        <w:overflowPunct w:val="0"/>
        <w:snapToGrid w:val="0"/>
        <w:spacing w:beforeLines="50" w:before="120"/>
        <w:ind w:left="-6"/>
      </w:pPr>
      <w:r w:rsidRPr="008E0048">
        <w:t xml:space="preserve">Figure 2 presents the comparisons of normalization results for each dataset with their specific characteristics and features. Egypt dataset with their dessert features, Brazil dataset with clouds and urban features, Greece dataset with topography and water features, lastly United States of America dataset with their seasonal features. </w:t>
      </w:r>
      <w:r w:rsidR="00E91E59" w:rsidRPr="008E0048">
        <w:t>Our approach effectively minimized image inconsistencies in complex datasets, such as those with dessert, clouds, water, and seasonal changes, while preserving key features.</w:t>
      </w:r>
      <w:r w:rsidRPr="008E0048">
        <w:t xml:space="preserve"> However, it was observed that our relaxation algorithm was not able to preserve topographic features on Greece dataset as well as IR-MAD. Those topographic features may be lost during the normalization process, which can result in a decrease in contrast in the normalized images. </w:t>
      </w:r>
      <w:r w:rsidR="008E0048" w:rsidRPr="008E0048">
        <w:t>Although our method could maintain seasonally affected pixels, there might still be inconsistencies indicating seasonal transitions in the images.</w:t>
      </w:r>
    </w:p>
    <w:p w14:paraId="04B1B8D9" w14:textId="2D84B2AC" w:rsidR="00C750E4" w:rsidRDefault="00C750E4" w:rsidP="00211CBF">
      <w:pPr>
        <w:widowControl w:val="0"/>
        <w:tabs>
          <w:tab w:val="clear" w:pos="1134"/>
        </w:tabs>
        <w:suppressAutoHyphens w:val="0"/>
        <w:kinsoku w:val="0"/>
        <w:overflowPunct w:val="0"/>
        <w:snapToGrid w:val="0"/>
        <w:spacing w:beforeLines="50" w:before="120"/>
        <w:ind w:left="-6"/>
        <w:rPr>
          <w:rFonts w:eastAsia="DFKai-SB"/>
          <w:b/>
          <w:sz w:val="16"/>
          <w:szCs w:val="16"/>
        </w:rPr>
      </w:pPr>
      <w:r w:rsidRPr="00C750E4">
        <w:rPr>
          <w:noProof/>
        </w:rPr>
        <w:drawing>
          <wp:inline distT="0" distB="0" distL="0" distR="0" wp14:anchorId="58BF19C4" wp14:editId="5109CFB0">
            <wp:extent cx="6116320" cy="2054431"/>
            <wp:effectExtent l="0" t="0" r="0" b="0"/>
            <wp:docPr id="1114898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035"/>
                    <a:stretch/>
                  </pic:blipFill>
                  <pic:spPr bwMode="auto">
                    <a:xfrm>
                      <a:off x="0" y="0"/>
                      <a:ext cx="6116320" cy="2054431"/>
                    </a:xfrm>
                    <a:prstGeom prst="rect">
                      <a:avLst/>
                    </a:prstGeom>
                    <a:noFill/>
                    <a:ln>
                      <a:noFill/>
                    </a:ln>
                    <a:extLst>
                      <a:ext uri="{53640926-AAD7-44D8-BBD7-CCE9431645EC}">
                        <a14:shadowObscured xmlns:a14="http://schemas.microsoft.com/office/drawing/2010/main"/>
                      </a:ext>
                    </a:extLst>
                  </pic:spPr>
                </pic:pic>
              </a:graphicData>
            </a:graphic>
          </wp:inline>
        </w:drawing>
      </w:r>
    </w:p>
    <w:p w14:paraId="3C16D9C6" w14:textId="6B2DE375" w:rsidR="00C750E4" w:rsidRPr="005C3865" w:rsidRDefault="00C750E4" w:rsidP="00C750E4">
      <w:pPr>
        <w:pStyle w:val="ListParagraph"/>
        <w:kinsoku w:val="0"/>
        <w:overflowPunct w:val="0"/>
        <w:snapToGrid w:val="0"/>
        <w:spacing w:beforeLines="50" w:before="120"/>
        <w:ind w:left="0"/>
        <w:jc w:val="center"/>
        <w:rPr>
          <w:lang w:bidi="en-US"/>
        </w:rPr>
      </w:pPr>
      <w:r w:rsidRPr="005C3865">
        <w:rPr>
          <w:b/>
          <w:bCs/>
        </w:rPr>
        <w:t xml:space="preserve">Figure </w:t>
      </w:r>
      <w:r>
        <w:rPr>
          <w:b/>
          <w:bCs/>
        </w:rPr>
        <w:t>2</w:t>
      </w:r>
      <w:r w:rsidRPr="005C3865">
        <w:rPr>
          <w:b/>
          <w:bCs/>
        </w:rPr>
        <w:t>.</w:t>
      </w:r>
      <w:r w:rsidRPr="005C3865">
        <w:t xml:space="preserve"> </w:t>
      </w:r>
      <w:r w:rsidR="00A912A0" w:rsidRPr="00A912A0">
        <w:t>Visual comparison of the normalization results between original images, IR-MAD, and proposed relaxation algorithms</w:t>
      </w:r>
    </w:p>
    <w:p w14:paraId="0DE947BF" w14:textId="49D36E3B" w:rsidR="00A215BF" w:rsidRDefault="00A215BF" w:rsidP="00A215BF">
      <w:pPr>
        <w:widowControl w:val="0"/>
        <w:numPr>
          <w:ilvl w:val="1"/>
          <w:numId w:val="4"/>
        </w:numPr>
        <w:tabs>
          <w:tab w:val="clear" w:pos="1134"/>
        </w:tabs>
        <w:suppressAutoHyphens w:val="0"/>
        <w:kinsoku w:val="0"/>
        <w:overflowPunct w:val="0"/>
        <w:snapToGrid w:val="0"/>
        <w:spacing w:beforeLines="50" w:before="120"/>
        <w:ind w:left="426"/>
        <w:rPr>
          <w:rFonts w:eastAsia="DFKai-SB"/>
          <w:b/>
        </w:rPr>
      </w:pPr>
      <w:r>
        <w:rPr>
          <w:rFonts w:eastAsia="DFKai-SB"/>
          <w:b/>
        </w:rPr>
        <w:t>Quantitative Analysis</w:t>
      </w:r>
    </w:p>
    <w:p w14:paraId="1283CD4C" w14:textId="4DBE887B" w:rsidR="00165514" w:rsidRDefault="00165514" w:rsidP="00165514">
      <w:pPr>
        <w:widowControl w:val="0"/>
        <w:numPr>
          <w:ilvl w:val="2"/>
          <w:numId w:val="4"/>
        </w:numPr>
        <w:tabs>
          <w:tab w:val="clear" w:pos="1134"/>
        </w:tabs>
        <w:suppressAutoHyphens w:val="0"/>
        <w:kinsoku w:val="0"/>
        <w:overflowPunct w:val="0"/>
        <w:snapToGrid w:val="0"/>
        <w:spacing w:beforeLines="50" w:before="120"/>
        <w:ind w:left="709" w:hanging="709"/>
        <w:rPr>
          <w:rFonts w:eastAsia="DFKai-SB"/>
          <w:b/>
        </w:rPr>
      </w:pPr>
      <w:r>
        <w:rPr>
          <w:rFonts w:eastAsia="DFKai-SB"/>
          <w:b/>
        </w:rPr>
        <w:t>Comparison of Normalization Results Accuracy</w:t>
      </w:r>
    </w:p>
    <w:p w14:paraId="40CDC973" w14:textId="18FFE538" w:rsidR="00456C4B" w:rsidRDefault="00456C4B" w:rsidP="009810A8">
      <w:pPr>
        <w:widowControl w:val="0"/>
        <w:tabs>
          <w:tab w:val="clear" w:pos="1134"/>
        </w:tabs>
        <w:suppressAutoHyphens w:val="0"/>
        <w:kinsoku w:val="0"/>
        <w:overflowPunct w:val="0"/>
        <w:snapToGrid w:val="0"/>
        <w:spacing w:beforeLines="50" w:before="120"/>
      </w:pPr>
      <w:r w:rsidRPr="00456C4B">
        <w:t>This study evaluates the discrepancy between normalized images using metrics such as Mean Absolute Error (MAE) and Root Mean Square Error (RMSE). These metrics help determine the differences between the normalized images. A smaller value of MAE and RMSE indicates better alignment and similarity between the normalized images. Based on the data in Table 2, it can be observed that the MAE and RMSE values of the proposed relaxation algorithm are consistently lower than those of the original images and IR-MAD. This indicates that our proposed relaxation algorithm is a more effective normalization method in reducing image discrepancies and errors. In summary, the accuracy measurements demonstrate that our relaxation method outperforms traditional methods and can effectively improve image quality.</w:t>
      </w:r>
    </w:p>
    <w:p w14:paraId="4A5C51C1" w14:textId="4976F41A" w:rsidR="00165514" w:rsidRDefault="00165514" w:rsidP="00165514">
      <w:pPr>
        <w:widowControl w:val="0"/>
        <w:numPr>
          <w:ilvl w:val="2"/>
          <w:numId w:val="4"/>
        </w:numPr>
        <w:tabs>
          <w:tab w:val="clear" w:pos="1134"/>
        </w:tabs>
        <w:suppressAutoHyphens w:val="0"/>
        <w:kinsoku w:val="0"/>
        <w:overflowPunct w:val="0"/>
        <w:snapToGrid w:val="0"/>
        <w:spacing w:beforeLines="50" w:before="120"/>
        <w:ind w:left="709" w:hanging="709"/>
        <w:rPr>
          <w:rFonts w:eastAsia="DFKai-SB"/>
          <w:b/>
        </w:rPr>
      </w:pPr>
      <w:r>
        <w:rPr>
          <w:rFonts w:eastAsia="DFKai-SB"/>
          <w:b/>
        </w:rPr>
        <w:lastRenderedPageBreak/>
        <w:t xml:space="preserve">Comparison of Normalization Results Similarity </w:t>
      </w:r>
    </w:p>
    <w:p w14:paraId="2F833AF2" w14:textId="1CDE58C3" w:rsidR="0040359B" w:rsidRPr="008D7B85" w:rsidRDefault="0040359B" w:rsidP="008D7B85">
      <w:pPr>
        <w:widowControl w:val="0"/>
        <w:tabs>
          <w:tab w:val="clear" w:pos="1134"/>
        </w:tabs>
        <w:suppressAutoHyphens w:val="0"/>
        <w:kinsoku w:val="0"/>
        <w:overflowPunct w:val="0"/>
        <w:snapToGrid w:val="0"/>
        <w:spacing w:beforeLines="50" w:before="120"/>
      </w:pPr>
      <w:r w:rsidRPr="0040359B">
        <w:t xml:space="preserve">This study </w:t>
      </w:r>
      <w:r w:rsidR="008D7B85" w:rsidRPr="008D7B85">
        <w:t xml:space="preserve">assesses the degree of similarity between normalized images using the correlation coefficient </w:t>
      </w:r>
      <w:r w:rsidRPr="008D7B85">
        <w:t xml:space="preserve">(R2). A correlation coefficient close to 1 suggests that the normalized images are highly </w:t>
      </w:r>
      <w:r w:rsidR="008D7B85">
        <w:t>similar</w:t>
      </w:r>
      <w:r w:rsidRPr="008D7B85">
        <w:t xml:space="preserve">, while a correlation coefficient close to 0 indicates a low similarity between the images. </w:t>
      </w:r>
      <w:r w:rsidR="008D7B85" w:rsidRPr="008D7B85">
        <w:t xml:space="preserve">The correlation measurements are presented in Table 3 for the original images, IR-MAD, and the relaxation-based image normalization. From the table, it can be observed that </w:t>
      </w:r>
      <w:r w:rsidRPr="008D7B85">
        <w:t xml:space="preserve">the overall assessment shows that our proposed relaxation method achieves the highest correlation coefficient among the three methods (original, IR-MAD, and relaxation). This indicates </w:t>
      </w:r>
      <w:r w:rsidR="008D7B85" w:rsidRPr="008D7B85">
        <w:t xml:space="preserve">the effectiveness of our relaxation algorithm in maintaining image similarity across different spectral bands both before and after normalization, contributing to an enhanced accuracy and consistent </w:t>
      </w:r>
      <w:r w:rsidRPr="008D7B85">
        <w:t>image representation.</w:t>
      </w:r>
    </w:p>
    <w:p w14:paraId="4EA45245" w14:textId="30822C3C" w:rsidR="00A56AD0" w:rsidRPr="00A56AD0" w:rsidRDefault="00A56AD0" w:rsidP="00A56AD0">
      <w:pPr>
        <w:spacing w:before="120"/>
        <w:jc w:val="left"/>
      </w:pPr>
      <w:r w:rsidRPr="00A56AD0">
        <w:rPr>
          <w:b/>
          <w:bCs/>
        </w:rPr>
        <w:t xml:space="preserve">Table 2. </w:t>
      </w:r>
      <w:r w:rsidRPr="00A56AD0">
        <w:t>Accuracy evaluation through MAE and RMSE.</w:t>
      </w:r>
    </w:p>
    <w:tbl>
      <w:tblPr>
        <w:tblW w:w="9389" w:type="dxa"/>
        <w:jc w:val="center"/>
        <w:tblLook w:val="04A0" w:firstRow="1" w:lastRow="0" w:firstColumn="1" w:lastColumn="0" w:noHBand="0" w:noVBand="1"/>
      </w:tblPr>
      <w:tblGrid>
        <w:gridCol w:w="1985"/>
        <w:gridCol w:w="661"/>
        <w:gridCol w:w="761"/>
        <w:gridCol w:w="661"/>
        <w:gridCol w:w="761"/>
        <w:gridCol w:w="661"/>
        <w:gridCol w:w="761"/>
        <w:gridCol w:w="661"/>
        <w:gridCol w:w="761"/>
        <w:gridCol w:w="858"/>
        <w:gridCol w:w="858"/>
      </w:tblGrid>
      <w:tr w:rsidR="00DA3256" w:rsidRPr="00DA3256" w14:paraId="0FFD3C59" w14:textId="77777777" w:rsidTr="00A56AD0">
        <w:trPr>
          <w:trHeight w:val="397"/>
          <w:jc w:val="center"/>
        </w:trPr>
        <w:tc>
          <w:tcPr>
            <w:tcW w:w="1985" w:type="dxa"/>
            <w:vMerge w:val="restart"/>
            <w:tcBorders>
              <w:top w:val="single" w:sz="4" w:space="0" w:color="auto"/>
              <w:left w:val="nil"/>
              <w:right w:val="nil"/>
            </w:tcBorders>
            <w:shd w:val="clear" w:color="000000" w:fill="FFFFFF"/>
            <w:noWrap/>
            <w:vAlign w:val="center"/>
            <w:hideMark/>
          </w:tcPr>
          <w:p w14:paraId="4BF3EB08" w14:textId="49946D21" w:rsidR="00DA3256" w:rsidRPr="00DA3256" w:rsidRDefault="00DA3256" w:rsidP="00DA3256">
            <w:pPr>
              <w:jc w:val="center"/>
              <w:rPr>
                <w:rFonts w:eastAsia="Times New Roman"/>
                <w:color w:val="000000"/>
                <w:lang w:val="en-US" w:eastAsia="en-US"/>
              </w:rPr>
            </w:pPr>
            <w:r>
              <w:rPr>
                <w:rFonts w:eastAsia="Times New Roman"/>
                <w:color w:val="000000"/>
                <w:lang w:val="en-US" w:eastAsia="en-US"/>
              </w:rPr>
              <w:t xml:space="preserve">Normalization </w:t>
            </w:r>
            <w:r w:rsidRPr="00DA3256">
              <w:rPr>
                <w:rFonts w:eastAsia="Times New Roman"/>
                <w:color w:val="000000"/>
                <w:lang w:val="en-US" w:eastAsia="en-US"/>
              </w:rPr>
              <w:t>Method</w:t>
            </w:r>
          </w:p>
        </w:tc>
        <w:tc>
          <w:tcPr>
            <w:tcW w:w="7404" w:type="dxa"/>
            <w:gridSpan w:val="10"/>
            <w:tcBorders>
              <w:top w:val="single" w:sz="4" w:space="0" w:color="auto"/>
              <w:left w:val="nil"/>
              <w:bottom w:val="nil"/>
              <w:right w:val="nil"/>
            </w:tcBorders>
            <w:shd w:val="clear" w:color="000000" w:fill="FFFFFF"/>
            <w:vAlign w:val="center"/>
            <w:hideMark/>
          </w:tcPr>
          <w:p w14:paraId="678C64A0"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Accuracy assessment</w:t>
            </w:r>
          </w:p>
        </w:tc>
      </w:tr>
      <w:tr w:rsidR="00DA3256" w:rsidRPr="00DA3256" w14:paraId="73DD1EB6" w14:textId="77777777" w:rsidTr="00A56AD0">
        <w:trPr>
          <w:trHeight w:val="397"/>
          <w:jc w:val="center"/>
        </w:trPr>
        <w:tc>
          <w:tcPr>
            <w:tcW w:w="1985" w:type="dxa"/>
            <w:vMerge/>
            <w:tcBorders>
              <w:left w:val="nil"/>
              <w:right w:val="nil"/>
            </w:tcBorders>
            <w:shd w:val="clear" w:color="000000" w:fill="FFFFFF"/>
            <w:noWrap/>
            <w:vAlign w:val="center"/>
            <w:hideMark/>
          </w:tcPr>
          <w:p w14:paraId="0100DD3B" w14:textId="03D94951" w:rsidR="00DA3256" w:rsidRPr="00DA3256" w:rsidRDefault="00DA3256" w:rsidP="00DA3256">
            <w:pPr>
              <w:tabs>
                <w:tab w:val="clear" w:pos="1134"/>
              </w:tabs>
              <w:suppressAutoHyphens w:val="0"/>
              <w:jc w:val="center"/>
              <w:rPr>
                <w:rFonts w:eastAsia="Times New Roman"/>
                <w:color w:val="000000"/>
                <w:lang w:val="en-US" w:eastAsia="en-US"/>
              </w:rPr>
            </w:pPr>
          </w:p>
        </w:tc>
        <w:tc>
          <w:tcPr>
            <w:tcW w:w="1422" w:type="dxa"/>
            <w:gridSpan w:val="2"/>
            <w:tcBorders>
              <w:top w:val="nil"/>
              <w:left w:val="nil"/>
              <w:bottom w:val="single" w:sz="4" w:space="0" w:color="auto"/>
              <w:right w:val="nil"/>
            </w:tcBorders>
            <w:shd w:val="clear" w:color="000000" w:fill="FFFFFF"/>
            <w:noWrap/>
            <w:vAlign w:val="center"/>
            <w:hideMark/>
          </w:tcPr>
          <w:p w14:paraId="1933CB12"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Egypt</w:t>
            </w:r>
          </w:p>
        </w:tc>
        <w:tc>
          <w:tcPr>
            <w:tcW w:w="1422" w:type="dxa"/>
            <w:gridSpan w:val="2"/>
            <w:tcBorders>
              <w:top w:val="nil"/>
              <w:left w:val="nil"/>
              <w:bottom w:val="single" w:sz="4" w:space="0" w:color="auto"/>
              <w:right w:val="nil"/>
            </w:tcBorders>
            <w:shd w:val="clear" w:color="000000" w:fill="FFFFFF"/>
            <w:noWrap/>
            <w:vAlign w:val="center"/>
            <w:hideMark/>
          </w:tcPr>
          <w:p w14:paraId="73023293"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Brazil</w:t>
            </w:r>
          </w:p>
        </w:tc>
        <w:tc>
          <w:tcPr>
            <w:tcW w:w="1422" w:type="dxa"/>
            <w:gridSpan w:val="2"/>
            <w:tcBorders>
              <w:top w:val="nil"/>
              <w:left w:val="nil"/>
              <w:bottom w:val="single" w:sz="4" w:space="0" w:color="auto"/>
              <w:right w:val="nil"/>
            </w:tcBorders>
            <w:shd w:val="clear" w:color="000000" w:fill="FFFFFF"/>
            <w:vAlign w:val="center"/>
            <w:hideMark/>
          </w:tcPr>
          <w:p w14:paraId="365B3038"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Greece</w:t>
            </w:r>
          </w:p>
        </w:tc>
        <w:tc>
          <w:tcPr>
            <w:tcW w:w="1422" w:type="dxa"/>
            <w:gridSpan w:val="2"/>
            <w:tcBorders>
              <w:top w:val="nil"/>
              <w:left w:val="nil"/>
              <w:bottom w:val="single" w:sz="4" w:space="0" w:color="auto"/>
              <w:right w:val="nil"/>
            </w:tcBorders>
            <w:shd w:val="clear" w:color="000000" w:fill="FFFFFF"/>
            <w:vAlign w:val="center"/>
            <w:hideMark/>
          </w:tcPr>
          <w:p w14:paraId="6355AB7C"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USA</w:t>
            </w:r>
          </w:p>
        </w:tc>
        <w:tc>
          <w:tcPr>
            <w:tcW w:w="1716" w:type="dxa"/>
            <w:gridSpan w:val="2"/>
            <w:tcBorders>
              <w:top w:val="nil"/>
              <w:left w:val="nil"/>
              <w:bottom w:val="single" w:sz="4" w:space="0" w:color="auto"/>
              <w:right w:val="nil"/>
            </w:tcBorders>
            <w:shd w:val="clear" w:color="000000" w:fill="FFFFFF"/>
            <w:vAlign w:val="center"/>
            <w:hideMark/>
          </w:tcPr>
          <w:p w14:paraId="68A09766"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Overall</w:t>
            </w:r>
          </w:p>
        </w:tc>
      </w:tr>
      <w:tr w:rsidR="00DA3256" w:rsidRPr="00DA3256" w14:paraId="38DCE6F9" w14:textId="77777777" w:rsidTr="00A56AD0">
        <w:trPr>
          <w:trHeight w:val="397"/>
          <w:jc w:val="center"/>
        </w:trPr>
        <w:tc>
          <w:tcPr>
            <w:tcW w:w="1985" w:type="dxa"/>
            <w:vMerge/>
            <w:tcBorders>
              <w:left w:val="nil"/>
              <w:bottom w:val="single" w:sz="4" w:space="0" w:color="000000"/>
              <w:right w:val="nil"/>
            </w:tcBorders>
            <w:vAlign w:val="center"/>
            <w:hideMark/>
          </w:tcPr>
          <w:p w14:paraId="04F01339" w14:textId="77777777" w:rsidR="00DA3256" w:rsidRPr="00DA3256" w:rsidRDefault="00DA3256" w:rsidP="00DA3256">
            <w:pPr>
              <w:tabs>
                <w:tab w:val="clear" w:pos="1134"/>
              </w:tabs>
              <w:suppressAutoHyphens w:val="0"/>
              <w:jc w:val="left"/>
              <w:rPr>
                <w:rFonts w:eastAsia="Times New Roman"/>
                <w:color w:val="000000"/>
                <w:lang w:val="en-US" w:eastAsia="en-US"/>
              </w:rPr>
            </w:pPr>
          </w:p>
        </w:tc>
        <w:tc>
          <w:tcPr>
            <w:tcW w:w="661" w:type="dxa"/>
            <w:tcBorders>
              <w:top w:val="nil"/>
              <w:left w:val="nil"/>
              <w:bottom w:val="single" w:sz="4" w:space="0" w:color="auto"/>
              <w:right w:val="nil"/>
            </w:tcBorders>
            <w:shd w:val="clear" w:color="000000" w:fill="FFFFFF"/>
            <w:noWrap/>
            <w:vAlign w:val="center"/>
            <w:hideMark/>
          </w:tcPr>
          <w:p w14:paraId="091E22CA"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MAE</w:t>
            </w:r>
          </w:p>
        </w:tc>
        <w:tc>
          <w:tcPr>
            <w:tcW w:w="761" w:type="dxa"/>
            <w:tcBorders>
              <w:top w:val="nil"/>
              <w:left w:val="nil"/>
              <w:bottom w:val="single" w:sz="4" w:space="0" w:color="auto"/>
              <w:right w:val="nil"/>
            </w:tcBorders>
            <w:shd w:val="clear" w:color="000000" w:fill="FFFFFF"/>
            <w:noWrap/>
            <w:vAlign w:val="center"/>
            <w:hideMark/>
          </w:tcPr>
          <w:p w14:paraId="642951E2"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RMSE</w:t>
            </w:r>
          </w:p>
        </w:tc>
        <w:tc>
          <w:tcPr>
            <w:tcW w:w="661" w:type="dxa"/>
            <w:tcBorders>
              <w:top w:val="nil"/>
              <w:left w:val="nil"/>
              <w:bottom w:val="single" w:sz="4" w:space="0" w:color="auto"/>
              <w:right w:val="nil"/>
            </w:tcBorders>
            <w:shd w:val="clear" w:color="000000" w:fill="FFFFFF"/>
            <w:noWrap/>
            <w:vAlign w:val="center"/>
            <w:hideMark/>
          </w:tcPr>
          <w:p w14:paraId="20373547"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MAE</w:t>
            </w:r>
          </w:p>
        </w:tc>
        <w:tc>
          <w:tcPr>
            <w:tcW w:w="761" w:type="dxa"/>
            <w:tcBorders>
              <w:top w:val="nil"/>
              <w:left w:val="nil"/>
              <w:bottom w:val="single" w:sz="4" w:space="0" w:color="auto"/>
              <w:right w:val="nil"/>
            </w:tcBorders>
            <w:shd w:val="clear" w:color="000000" w:fill="FFFFFF"/>
            <w:noWrap/>
            <w:vAlign w:val="center"/>
            <w:hideMark/>
          </w:tcPr>
          <w:p w14:paraId="0103A709"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RMSE</w:t>
            </w:r>
          </w:p>
        </w:tc>
        <w:tc>
          <w:tcPr>
            <w:tcW w:w="661" w:type="dxa"/>
            <w:tcBorders>
              <w:top w:val="nil"/>
              <w:left w:val="nil"/>
              <w:bottom w:val="single" w:sz="4" w:space="0" w:color="auto"/>
              <w:right w:val="nil"/>
            </w:tcBorders>
            <w:shd w:val="clear" w:color="000000" w:fill="FFFFFF"/>
            <w:noWrap/>
            <w:vAlign w:val="center"/>
            <w:hideMark/>
          </w:tcPr>
          <w:p w14:paraId="042BA744"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MAE</w:t>
            </w:r>
          </w:p>
        </w:tc>
        <w:tc>
          <w:tcPr>
            <w:tcW w:w="761" w:type="dxa"/>
            <w:tcBorders>
              <w:top w:val="nil"/>
              <w:left w:val="nil"/>
              <w:bottom w:val="single" w:sz="4" w:space="0" w:color="auto"/>
              <w:right w:val="nil"/>
            </w:tcBorders>
            <w:shd w:val="clear" w:color="000000" w:fill="FFFFFF"/>
            <w:noWrap/>
            <w:vAlign w:val="center"/>
            <w:hideMark/>
          </w:tcPr>
          <w:p w14:paraId="19BC8884"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RMSE</w:t>
            </w:r>
          </w:p>
        </w:tc>
        <w:tc>
          <w:tcPr>
            <w:tcW w:w="661" w:type="dxa"/>
            <w:tcBorders>
              <w:top w:val="nil"/>
              <w:left w:val="nil"/>
              <w:bottom w:val="single" w:sz="4" w:space="0" w:color="auto"/>
              <w:right w:val="nil"/>
            </w:tcBorders>
            <w:shd w:val="clear" w:color="000000" w:fill="FFFFFF"/>
            <w:noWrap/>
            <w:vAlign w:val="center"/>
            <w:hideMark/>
          </w:tcPr>
          <w:p w14:paraId="70CDE063"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MAE</w:t>
            </w:r>
          </w:p>
        </w:tc>
        <w:tc>
          <w:tcPr>
            <w:tcW w:w="761" w:type="dxa"/>
            <w:tcBorders>
              <w:top w:val="nil"/>
              <w:left w:val="nil"/>
              <w:bottom w:val="single" w:sz="4" w:space="0" w:color="auto"/>
              <w:right w:val="nil"/>
            </w:tcBorders>
            <w:shd w:val="clear" w:color="000000" w:fill="FFFFFF"/>
            <w:noWrap/>
            <w:vAlign w:val="center"/>
            <w:hideMark/>
          </w:tcPr>
          <w:p w14:paraId="25262BE3"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RMSE</w:t>
            </w:r>
          </w:p>
        </w:tc>
        <w:tc>
          <w:tcPr>
            <w:tcW w:w="858" w:type="dxa"/>
            <w:tcBorders>
              <w:top w:val="nil"/>
              <w:left w:val="nil"/>
              <w:bottom w:val="single" w:sz="4" w:space="0" w:color="auto"/>
              <w:right w:val="nil"/>
            </w:tcBorders>
            <w:shd w:val="clear" w:color="000000" w:fill="FFFFFF"/>
            <w:noWrap/>
            <w:vAlign w:val="center"/>
            <w:hideMark/>
          </w:tcPr>
          <w:p w14:paraId="446E5B23"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MAE</w:t>
            </w:r>
          </w:p>
        </w:tc>
        <w:tc>
          <w:tcPr>
            <w:tcW w:w="858" w:type="dxa"/>
            <w:tcBorders>
              <w:top w:val="nil"/>
              <w:left w:val="nil"/>
              <w:bottom w:val="single" w:sz="4" w:space="0" w:color="auto"/>
              <w:right w:val="nil"/>
            </w:tcBorders>
            <w:shd w:val="clear" w:color="000000" w:fill="FFFFFF"/>
            <w:noWrap/>
            <w:vAlign w:val="center"/>
            <w:hideMark/>
          </w:tcPr>
          <w:p w14:paraId="58AB25FB"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RMSE</w:t>
            </w:r>
          </w:p>
        </w:tc>
      </w:tr>
      <w:tr w:rsidR="00DA3256" w:rsidRPr="00DA3256" w14:paraId="72700672" w14:textId="77777777" w:rsidTr="00A56AD0">
        <w:trPr>
          <w:trHeight w:val="397"/>
          <w:jc w:val="center"/>
        </w:trPr>
        <w:tc>
          <w:tcPr>
            <w:tcW w:w="1985" w:type="dxa"/>
            <w:tcBorders>
              <w:top w:val="nil"/>
              <w:left w:val="nil"/>
              <w:bottom w:val="nil"/>
              <w:right w:val="nil"/>
            </w:tcBorders>
            <w:shd w:val="clear" w:color="000000" w:fill="FFFFFF"/>
            <w:vAlign w:val="center"/>
            <w:hideMark/>
          </w:tcPr>
          <w:p w14:paraId="0D95C1AA"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Original Images</w:t>
            </w:r>
          </w:p>
        </w:tc>
        <w:tc>
          <w:tcPr>
            <w:tcW w:w="661" w:type="dxa"/>
            <w:tcBorders>
              <w:top w:val="nil"/>
              <w:left w:val="nil"/>
              <w:bottom w:val="nil"/>
              <w:right w:val="nil"/>
            </w:tcBorders>
            <w:shd w:val="clear" w:color="000000" w:fill="FFFFFF"/>
            <w:noWrap/>
            <w:vAlign w:val="center"/>
            <w:hideMark/>
          </w:tcPr>
          <w:p w14:paraId="45335D1E"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7.5</w:t>
            </w:r>
          </w:p>
        </w:tc>
        <w:tc>
          <w:tcPr>
            <w:tcW w:w="761" w:type="dxa"/>
            <w:tcBorders>
              <w:top w:val="nil"/>
              <w:left w:val="nil"/>
              <w:bottom w:val="nil"/>
              <w:right w:val="nil"/>
            </w:tcBorders>
            <w:shd w:val="clear" w:color="000000" w:fill="FFFFFF"/>
            <w:noWrap/>
            <w:vAlign w:val="center"/>
            <w:hideMark/>
          </w:tcPr>
          <w:p w14:paraId="5E8810E1"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9.0</w:t>
            </w:r>
          </w:p>
        </w:tc>
        <w:tc>
          <w:tcPr>
            <w:tcW w:w="661" w:type="dxa"/>
            <w:tcBorders>
              <w:top w:val="nil"/>
              <w:left w:val="nil"/>
              <w:bottom w:val="nil"/>
              <w:right w:val="nil"/>
            </w:tcBorders>
            <w:shd w:val="clear" w:color="000000" w:fill="FFFFFF"/>
            <w:noWrap/>
            <w:vAlign w:val="center"/>
            <w:hideMark/>
          </w:tcPr>
          <w:p w14:paraId="24FC5E6F"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12.4</w:t>
            </w:r>
          </w:p>
        </w:tc>
        <w:tc>
          <w:tcPr>
            <w:tcW w:w="761" w:type="dxa"/>
            <w:tcBorders>
              <w:top w:val="nil"/>
              <w:left w:val="nil"/>
              <w:bottom w:val="nil"/>
              <w:right w:val="nil"/>
            </w:tcBorders>
            <w:shd w:val="clear" w:color="000000" w:fill="FFFFFF"/>
            <w:noWrap/>
            <w:vAlign w:val="center"/>
            <w:hideMark/>
          </w:tcPr>
          <w:p w14:paraId="00BF81E0"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15.7</w:t>
            </w:r>
          </w:p>
        </w:tc>
        <w:tc>
          <w:tcPr>
            <w:tcW w:w="661" w:type="dxa"/>
            <w:tcBorders>
              <w:top w:val="nil"/>
              <w:left w:val="nil"/>
              <w:bottom w:val="nil"/>
              <w:right w:val="nil"/>
            </w:tcBorders>
            <w:shd w:val="clear" w:color="000000" w:fill="FFFFFF"/>
            <w:noWrap/>
            <w:vAlign w:val="center"/>
            <w:hideMark/>
          </w:tcPr>
          <w:p w14:paraId="4DE60EAB"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6.5</w:t>
            </w:r>
          </w:p>
        </w:tc>
        <w:tc>
          <w:tcPr>
            <w:tcW w:w="761" w:type="dxa"/>
            <w:tcBorders>
              <w:top w:val="nil"/>
              <w:left w:val="nil"/>
              <w:bottom w:val="nil"/>
              <w:right w:val="nil"/>
            </w:tcBorders>
            <w:shd w:val="clear" w:color="000000" w:fill="FFFFFF"/>
            <w:noWrap/>
            <w:vAlign w:val="center"/>
            <w:hideMark/>
          </w:tcPr>
          <w:p w14:paraId="0DCD9AFB"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7.8</w:t>
            </w:r>
          </w:p>
        </w:tc>
        <w:tc>
          <w:tcPr>
            <w:tcW w:w="661" w:type="dxa"/>
            <w:tcBorders>
              <w:top w:val="nil"/>
              <w:left w:val="nil"/>
              <w:bottom w:val="nil"/>
              <w:right w:val="nil"/>
            </w:tcBorders>
            <w:shd w:val="clear" w:color="000000" w:fill="FFFFFF"/>
            <w:noWrap/>
            <w:vAlign w:val="center"/>
            <w:hideMark/>
          </w:tcPr>
          <w:p w14:paraId="23BF3A7F"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5.6</w:t>
            </w:r>
          </w:p>
        </w:tc>
        <w:tc>
          <w:tcPr>
            <w:tcW w:w="761" w:type="dxa"/>
            <w:tcBorders>
              <w:top w:val="nil"/>
              <w:left w:val="nil"/>
              <w:bottom w:val="nil"/>
              <w:right w:val="nil"/>
            </w:tcBorders>
            <w:shd w:val="clear" w:color="000000" w:fill="FFFFFF"/>
            <w:noWrap/>
            <w:vAlign w:val="center"/>
            <w:hideMark/>
          </w:tcPr>
          <w:p w14:paraId="7A33CD29"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6.8</w:t>
            </w:r>
          </w:p>
        </w:tc>
        <w:tc>
          <w:tcPr>
            <w:tcW w:w="858" w:type="dxa"/>
            <w:tcBorders>
              <w:top w:val="nil"/>
              <w:left w:val="nil"/>
              <w:bottom w:val="nil"/>
              <w:right w:val="nil"/>
            </w:tcBorders>
            <w:shd w:val="clear" w:color="000000" w:fill="FFFFFF"/>
            <w:vAlign w:val="center"/>
            <w:hideMark/>
          </w:tcPr>
          <w:p w14:paraId="3052927C"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8.0</w:t>
            </w:r>
          </w:p>
        </w:tc>
        <w:tc>
          <w:tcPr>
            <w:tcW w:w="858" w:type="dxa"/>
            <w:tcBorders>
              <w:top w:val="nil"/>
              <w:left w:val="nil"/>
              <w:bottom w:val="nil"/>
              <w:right w:val="nil"/>
            </w:tcBorders>
            <w:shd w:val="clear" w:color="000000" w:fill="FFFFFF"/>
            <w:vAlign w:val="center"/>
            <w:hideMark/>
          </w:tcPr>
          <w:p w14:paraId="6ACA6ACC"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9.8</w:t>
            </w:r>
          </w:p>
        </w:tc>
      </w:tr>
      <w:tr w:rsidR="00DA3256" w:rsidRPr="00DA3256" w14:paraId="71D55285" w14:textId="77777777" w:rsidTr="00A56AD0">
        <w:trPr>
          <w:trHeight w:val="397"/>
          <w:jc w:val="center"/>
        </w:trPr>
        <w:tc>
          <w:tcPr>
            <w:tcW w:w="1985" w:type="dxa"/>
            <w:tcBorders>
              <w:top w:val="nil"/>
              <w:left w:val="nil"/>
              <w:bottom w:val="nil"/>
              <w:right w:val="nil"/>
            </w:tcBorders>
            <w:shd w:val="clear" w:color="000000" w:fill="FFFFFF"/>
            <w:vAlign w:val="center"/>
            <w:hideMark/>
          </w:tcPr>
          <w:p w14:paraId="4EB44ACF"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IR-MAD</w:t>
            </w:r>
          </w:p>
        </w:tc>
        <w:tc>
          <w:tcPr>
            <w:tcW w:w="661" w:type="dxa"/>
            <w:tcBorders>
              <w:top w:val="nil"/>
              <w:left w:val="nil"/>
              <w:bottom w:val="nil"/>
              <w:right w:val="nil"/>
            </w:tcBorders>
            <w:shd w:val="clear" w:color="000000" w:fill="FFFFFF"/>
            <w:noWrap/>
            <w:vAlign w:val="center"/>
            <w:hideMark/>
          </w:tcPr>
          <w:p w14:paraId="75A6C9BA"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5.1</w:t>
            </w:r>
          </w:p>
        </w:tc>
        <w:tc>
          <w:tcPr>
            <w:tcW w:w="761" w:type="dxa"/>
            <w:tcBorders>
              <w:top w:val="nil"/>
              <w:left w:val="nil"/>
              <w:bottom w:val="nil"/>
              <w:right w:val="nil"/>
            </w:tcBorders>
            <w:shd w:val="clear" w:color="000000" w:fill="FFFFFF"/>
            <w:noWrap/>
            <w:vAlign w:val="center"/>
            <w:hideMark/>
          </w:tcPr>
          <w:p w14:paraId="1A95DF4E"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6.0</w:t>
            </w:r>
          </w:p>
        </w:tc>
        <w:tc>
          <w:tcPr>
            <w:tcW w:w="661" w:type="dxa"/>
            <w:tcBorders>
              <w:top w:val="nil"/>
              <w:left w:val="nil"/>
              <w:bottom w:val="nil"/>
              <w:right w:val="nil"/>
            </w:tcBorders>
            <w:shd w:val="clear" w:color="000000" w:fill="FFFFFF"/>
            <w:noWrap/>
            <w:vAlign w:val="center"/>
            <w:hideMark/>
          </w:tcPr>
          <w:p w14:paraId="02A47B32"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7.6</w:t>
            </w:r>
          </w:p>
        </w:tc>
        <w:tc>
          <w:tcPr>
            <w:tcW w:w="761" w:type="dxa"/>
            <w:tcBorders>
              <w:top w:val="nil"/>
              <w:left w:val="nil"/>
              <w:bottom w:val="nil"/>
              <w:right w:val="nil"/>
            </w:tcBorders>
            <w:shd w:val="clear" w:color="000000" w:fill="FFFFFF"/>
            <w:noWrap/>
            <w:vAlign w:val="center"/>
            <w:hideMark/>
          </w:tcPr>
          <w:p w14:paraId="7B16E80E"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9.3</w:t>
            </w:r>
          </w:p>
        </w:tc>
        <w:tc>
          <w:tcPr>
            <w:tcW w:w="661" w:type="dxa"/>
            <w:tcBorders>
              <w:top w:val="nil"/>
              <w:left w:val="nil"/>
              <w:bottom w:val="nil"/>
              <w:right w:val="nil"/>
            </w:tcBorders>
            <w:shd w:val="clear" w:color="000000" w:fill="FFFFFF"/>
            <w:noWrap/>
            <w:vAlign w:val="center"/>
            <w:hideMark/>
          </w:tcPr>
          <w:p w14:paraId="38D15873"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5.4</w:t>
            </w:r>
          </w:p>
        </w:tc>
        <w:tc>
          <w:tcPr>
            <w:tcW w:w="761" w:type="dxa"/>
            <w:tcBorders>
              <w:top w:val="nil"/>
              <w:left w:val="nil"/>
              <w:bottom w:val="nil"/>
              <w:right w:val="nil"/>
            </w:tcBorders>
            <w:shd w:val="clear" w:color="000000" w:fill="FFFFFF"/>
            <w:noWrap/>
            <w:vAlign w:val="center"/>
            <w:hideMark/>
          </w:tcPr>
          <w:p w14:paraId="523B0BD1"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6.3</w:t>
            </w:r>
          </w:p>
        </w:tc>
        <w:tc>
          <w:tcPr>
            <w:tcW w:w="661" w:type="dxa"/>
            <w:tcBorders>
              <w:top w:val="nil"/>
              <w:left w:val="nil"/>
              <w:bottom w:val="nil"/>
              <w:right w:val="nil"/>
            </w:tcBorders>
            <w:shd w:val="clear" w:color="000000" w:fill="FFFFFF"/>
            <w:noWrap/>
            <w:vAlign w:val="center"/>
            <w:hideMark/>
          </w:tcPr>
          <w:p w14:paraId="3E413B2D"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4.6</w:t>
            </w:r>
          </w:p>
        </w:tc>
        <w:tc>
          <w:tcPr>
            <w:tcW w:w="761" w:type="dxa"/>
            <w:tcBorders>
              <w:top w:val="nil"/>
              <w:left w:val="nil"/>
              <w:bottom w:val="nil"/>
              <w:right w:val="nil"/>
            </w:tcBorders>
            <w:shd w:val="clear" w:color="000000" w:fill="FFFFFF"/>
            <w:noWrap/>
            <w:vAlign w:val="center"/>
            <w:hideMark/>
          </w:tcPr>
          <w:p w14:paraId="6787F68D"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5.5</w:t>
            </w:r>
          </w:p>
        </w:tc>
        <w:tc>
          <w:tcPr>
            <w:tcW w:w="858" w:type="dxa"/>
            <w:tcBorders>
              <w:top w:val="nil"/>
              <w:left w:val="nil"/>
              <w:bottom w:val="nil"/>
              <w:right w:val="nil"/>
            </w:tcBorders>
            <w:shd w:val="clear" w:color="000000" w:fill="FFFFFF"/>
            <w:vAlign w:val="center"/>
            <w:hideMark/>
          </w:tcPr>
          <w:p w14:paraId="660A6AD1"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5.7</w:t>
            </w:r>
          </w:p>
        </w:tc>
        <w:tc>
          <w:tcPr>
            <w:tcW w:w="858" w:type="dxa"/>
            <w:tcBorders>
              <w:top w:val="nil"/>
              <w:left w:val="nil"/>
              <w:bottom w:val="nil"/>
              <w:right w:val="nil"/>
            </w:tcBorders>
            <w:shd w:val="clear" w:color="000000" w:fill="FFFFFF"/>
            <w:vAlign w:val="center"/>
            <w:hideMark/>
          </w:tcPr>
          <w:p w14:paraId="38B0CDD6"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6.8</w:t>
            </w:r>
          </w:p>
        </w:tc>
      </w:tr>
      <w:tr w:rsidR="00DA3256" w:rsidRPr="00DA3256" w14:paraId="7149DED5" w14:textId="77777777" w:rsidTr="00A56AD0">
        <w:trPr>
          <w:trHeight w:val="397"/>
          <w:jc w:val="center"/>
        </w:trPr>
        <w:tc>
          <w:tcPr>
            <w:tcW w:w="1985" w:type="dxa"/>
            <w:tcBorders>
              <w:top w:val="nil"/>
              <w:left w:val="nil"/>
              <w:bottom w:val="single" w:sz="4" w:space="0" w:color="auto"/>
              <w:right w:val="nil"/>
            </w:tcBorders>
            <w:shd w:val="clear" w:color="000000" w:fill="FFFFFF"/>
            <w:vAlign w:val="center"/>
            <w:hideMark/>
          </w:tcPr>
          <w:p w14:paraId="1FCBB8F8"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Relaxation Algorithm (Proposed)</w:t>
            </w:r>
          </w:p>
        </w:tc>
        <w:tc>
          <w:tcPr>
            <w:tcW w:w="661" w:type="dxa"/>
            <w:tcBorders>
              <w:top w:val="nil"/>
              <w:left w:val="nil"/>
              <w:bottom w:val="single" w:sz="4" w:space="0" w:color="auto"/>
              <w:right w:val="nil"/>
            </w:tcBorders>
            <w:shd w:val="clear" w:color="000000" w:fill="FFFFFF"/>
            <w:noWrap/>
            <w:vAlign w:val="center"/>
            <w:hideMark/>
          </w:tcPr>
          <w:p w14:paraId="6583D749"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1.7</w:t>
            </w:r>
          </w:p>
        </w:tc>
        <w:tc>
          <w:tcPr>
            <w:tcW w:w="761" w:type="dxa"/>
            <w:tcBorders>
              <w:top w:val="nil"/>
              <w:left w:val="nil"/>
              <w:bottom w:val="single" w:sz="4" w:space="0" w:color="auto"/>
              <w:right w:val="nil"/>
            </w:tcBorders>
            <w:shd w:val="clear" w:color="000000" w:fill="FFFFFF"/>
            <w:noWrap/>
            <w:vAlign w:val="center"/>
            <w:hideMark/>
          </w:tcPr>
          <w:p w14:paraId="0DE6F985"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2.1</w:t>
            </w:r>
          </w:p>
        </w:tc>
        <w:tc>
          <w:tcPr>
            <w:tcW w:w="661" w:type="dxa"/>
            <w:tcBorders>
              <w:top w:val="nil"/>
              <w:left w:val="nil"/>
              <w:bottom w:val="single" w:sz="4" w:space="0" w:color="auto"/>
              <w:right w:val="nil"/>
            </w:tcBorders>
            <w:shd w:val="clear" w:color="000000" w:fill="FFFFFF"/>
            <w:noWrap/>
            <w:vAlign w:val="center"/>
            <w:hideMark/>
          </w:tcPr>
          <w:p w14:paraId="70FF094D"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6.2</w:t>
            </w:r>
          </w:p>
        </w:tc>
        <w:tc>
          <w:tcPr>
            <w:tcW w:w="761" w:type="dxa"/>
            <w:tcBorders>
              <w:top w:val="nil"/>
              <w:left w:val="nil"/>
              <w:bottom w:val="single" w:sz="4" w:space="0" w:color="auto"/>
              <w:right w:val="nil"/>
            </w:tcBorders>
            <w:shd w:val="clear" w:color="000000" w:fill="FFFFFF"/>
            <w:noWrap/>
            <w:vAlign w:val="center"/>
            <w:hideMark/>
          </w:tcPr>
          <w:p w14:paraId="0314D2B3"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7.6</w:t>
            </w:r>
          </w:p>
        </w:tc>
        <w:tc>
          <w:tcPr>
            <w:tcW w:w="661" w:type="dxa"/>
            <w:tcBorders>
              <w:top w:val="nil"/>
              <w:left w:val="nil"/>
              <w:bottom w:val="single" w:sz="4" w:space="0" w:color="auto"/>
              <w:right w:val="nil"/>
            </w:tcBorders>
            <w:shd w:val="clear" w:color="000000" w:fill="FFFFFF"/>
            <w:noWrap/>
            <w:vAlign w:val="center"/>
            <w:hideMark/>
          </w:tcPr>
          <w:p w14:paraId="50E3DD17"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4.3</w:t>
            </w:r>
          </w:p>
        </w:tc>
        <w:tc>
          <w:tcPr>
            <w:tcW w:w="761" w:type="dxa"/>
            <w:tcBorders>
              <w:top w:val="nil"/>
              <w:left w:val="nil"/>
              <w:bottom w:val="single" w:sz="4" w:space="0" w:color="auto"/>
              <w:right w:val="nil"/>
            </w:tcBorders>
            <w:shd w:val="clear" w:color="000000" w:fill="FFFFFF"/>
            <w:noWrap/>
            <w:vAlign w:val="center"/>
            <w:hideMark/>
          </w:tcPr>
          <w:p w14:paraId="50A5A0CF"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5.0</w:t>
            </w:r>
          </w:p>
        </w:tc>
        <w:tc>
          <w:tcPr>
            <w:tcW w:w="661" w:type="dxa"/>
            <w:tcBorders>
              <w:top w:val="nil"/>
              <w:left w:val="nil"/>
              <w:bottom w:val="single" w:sz="4" w:space="0" w:color="auto"/>
              <w:right w:val="nil"/>
            </w:tcBorders>
            <w:shd w:val="clear" w:color="000000" w:fill="FFFFFF"/>
            <w:noWrap/>
            <w:vAlign w:val="center"/>
            <w:hideMark/>
          </w:tcPr>
          <w:p w14:paraId="7D1713CA"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3.1</w:t>
            </w:r>
          </w:p>
        </w:tc>
        <w:tc>
          <w:tcPr>
            <w:tcW w:w="761" w:type="dxa"/>
            <w:tcBorders>
              <w:top w:val="nil"/>
              <w:left w:val="nil"/>
              <w:bottom w:val="single" w:sz="4" w:space="0" w:color="auto"/>
              <w:right w:val="nil"/>
            </w:tcBorders>
            <w:shd w:val="clear" w:color="000000" w:fill="FFFFFF"/>
            <w:noWrap/>
            <w:vAlign w:val="center"/>
            <w:hideMark/>
          </w:tcPr>
          <w:p w14:paraId="795F307A"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3.7</w:t>
            </w:r>
          </w:p>
        </w:tc>
        <w:tc>
          <w:tcPr>
            <w:tcW w:w="858" w:type="dxa"/>
            <w:tcBorders>
              <w:top w:val="nil"/>
              <w:left w:val="nil"/>
              <w:bottom w:val="single" w:sz="4" w:space="0" w:color="auto"/>
              <w:right w:val="nil"/>
            </w:tcBorders>
            <w:shd w:val="clear" w:color="000000" w:fill="FFFFFF"/>
            <w:vAlign w:val="center"/>
            <w:hideMark/>
          </w:tcPr>
          <w:p w14:paraId="53D3C183"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3.8</w:t>
            </w:r>
          </w:p>
        </w:tc>
        <w:tc>
          <w:tcPr>
            <w:tcW w:w="858" w:type="dxa"/>
            <w:tcBorders>
              <w:top w:val="nil"/>
              <w:left w:val="nil"/>
              <w:bottom w:val="single" w:sz="4" w:space="0" w:color="auto"/>
              <w:right w:val="nil"/>
            </w:tcBorders>
            <w:shd w:val="clear" w:color="000000" w:fill="FFFFFF"/>
            <w:vAlign w:val="center"/>
            <w:hideMark/>
          </w:tcPr>
          <w:p w14:paraId="7DB3AEE7"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4.6</w:t>
            </w:r>
          </w:p>
        </w:tc>
      </w:tr>
    </w:tbl>
    <w:p w14:paraId="235E435F" w14:textId="0CE7D237" w:rsidR="00A56AD0" w:rsidRPr="00A56AD0" w:rsidRDefault="00A56AD0" w:rsidP="00A56AD0">
      <w:pPr>
        <w:spacing w:before="120"/>
        <w:jc w:val="left"/>
        <w:rPr>
          <w:rFonts w:eastAsia="PMingLiU"/>
        </w:rPr>
      </w:pPr>
      <w:r w:rsidRPr="00A56AD0">
        <w:rPr>
          <w:b/>
          <w:bCs/>
        </w:rPr>
        <w:t>Table 3.</w:t>
      </w:r>
      <w:r w:rsidRPr="00A56AD0">
        <w:t xml:space="preserve"> Similarity evaluation through correlation coefficient.</w:t>
      </w:r>
    </w:p>
    <w:tbl>
      <w:tblPr>
        <w:tblW w:w="8371" w:type="dxa"/>
        <w:jc w:val="center"/>
        <w:tblLook w:val="04A0" w:firstRow="1" w:lastRow="0" w:firstColumn="1" w:lastColumn="0" w:noHBand="0" w:noVBand="1"/>
      </w:tblPr>
      <w:tblGrid>
        <w:gridCol w:w="1985"/>
        <w:gridCol w:w="1232"/>
        <w:gridCol w:w="1233"/>
        <w:gridCol w:w="1233"/>
        <w:gridCol w:w="1233"/>
        <w:gridCol w:w="1233"/>
        <w:gridCol w:w="222"/>
      </w:tblGrid>
      <w:tr w:rsidR="00DA3256" w:rsidRPr="00DA3256" w14:paraId="15E78D4B" w14:textId="77777777" w:rsidTr="00A56AD0">
        <w:trPr>
          <w:gridAfter w:val="1"/>
          <w:wAfter w:w="222" w:type="dxa"/>
          <w:trHeight w:val="397"/>
          <w:jc w:val="center"/>
        </w:trPr>
        <w:tc>
          <w:tcPr>
            <w:tcW w:w="1985" w:type="dxa"/>
            <w:vMerge w:val="restart"/>
            <w:tcBorders>
              <w:top w:val="single" w:sz="4" w:space="0" w:color="auto"/>
              <w:left w:val="nil"/>
              <w:right w:val="nil"/>
            </w:tcBorders>
            <w:shd w:val="clear" w:color="000000" w:fill="FFFFFF"/>
            <w:noWrap/>
            <w:vAlign w:val="center"/>
            <w:hideMark/>
          </w:tcPr>
          <w:p w14:paraId="2712323C" w14:textId="1ACDC5AF"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color w:val="000000"/>
                <w:lang w:val="en-US" w:eastAsia="en-US"/>
              </w:rPr>
              <w:t>Normalization Method</w:t>
            </w:r>
          </w:p>
        </w:tc>
        <w:tc>
          <w:tcPr>
            <w:tcW w:w="6164" w:type="dxa"/>
            <w:gridSpan w:val="5"/>
            <w:tcBorders>
              <w:top w:val="single" w:sz="4" w:space="0" w:color="auto"/>
              <w:left w:val="nil"/>
              <w:bottom w:val="nil"/>
              <w:right w:val="nil"/>
            </w:tcBorders>
            <w:shd w:val="clear" w:color="000000" w:fill="FFFFFF"/>
            <w:vAlign w:val="center"/>
            <w:hideMark/>
          </w:tcPr>
          <w:p w14:paraId="001DE504"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Similarity assessment</w:t>
            </w:r>
          </w:p>
        </w:tc>
      </w:tr>
      <w:tr w:rsidR="00DA3256" w:rsidRPr="00DA3256" w14:paraId="093917B1" w14:textId="77777777" w:rsidTr="00A56AD0">
        <w:trPr>
          <w:gridAfter w:val="1"/>
          <w:wAfter w:w="222" w:type="dxa"/>
          <w:trHeight w:val="230"/>
          <w:jc w:val="center"/>
        </w:trPr>
        <w:tc>
          <w:tcPr>
            <w:tcW w:w="1985" w:type="dxa"/>
            <w:vMerge/>
            <w:tcBorders>
              <w:left w:val="nil"/>
              <w:right w:val="nil"/>
            </w:tcBorders>
            <w:shd w:val="clear" w:color="000000" w:fill="FFFFFF"/>
            <w:noWrap/>
            <w:vAlign w:val="center"/>
            <w:hideMark/>
          </w:tcPr>
          <w:p w14:paraId="6F242A9F" w14:textId="597E8439" w:rsidR="00DA3256" w:rsidRPr="00DA3256" w:rsidRDefault="00DA3256" w:rsidP="00DA3256">
            <w:pPr>
              <w:tabs>
                <w:tab w:val="clear" w:pos="1134"/>
              </w:tabs>
              <w:suppressAutoHyphens w:val="0"/>
              <w:jc w:val="center"/>
              <w:rPr>
                <w:rFonts w:eastAsia="Times New Roman"/>
                <w:b/>
                <w:bCs/>
                <w:color w:val="000000"/>
                <w:lang w:val="en-US" w:eastAsia="en-US"/>
              </w:rPr>
            </w:pPr>
          </w:p>
        </w:tc>
        <w:tc>
          <w:tcPr>
            <w:tcW w:w="1232" w:type="dxa"/>
            <w:vMerge w:val="restart"/>
            <w:tcBorders>
              <w:top w:val="nil"/>
              <w:left w:val="nil"/>
              <w:bottom w:val="single" w:sz="4" w:space="0" w:color="000000"/>
              <w:right w:val="nil"/>
            </w:tcBorders>
            <w:shd w:val="clear" w:color="000000" w:fill="FFFFFF"/>
            <w:vAlign w:val="center"/>
            <w:hideMark/>
          </w:tcPr>
          <w:p w14:paraId="5983FCB1"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Egypt</w:t>
            </w:r>
          </w:p>
        </w:tc>
        <w:tc>
          <w:tcPr>
            <w:tcW w:w="1233" w:type="dxa"/>
            <w:vMerge w:val="restart"/>
            <w:tcBorders>
              <w:top w:val="nil"/>
              <w:left w:val="nil"/>
              <w:bottom w:val="single" w:sz="4" w:space="0" w:color="000000"/>
              <w:right w:val="nil"/>
            </w:tcBorders>
            <w:shd w:val="clear" w:color="000000" w:fill="FFFFFF"/>
            <w:vAlign w:val="center"/>
            <w:hideMark/>
          </w:tcPr>
          <w:p w14:paraId="37820A1D"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Brazil</w:t>
            </w:r>
          </w:p>
        </w:tc>
        <w:tc>
          <w:tcPr>
            <w:tcW w:w="1233" w:type="dxa"/>
            <w:vMerge w:val="restart"/>
            <w:tcBorders>
              <w:top w:val="nil"/>
              <w:left w:val="nil"/>
              <w:bottom w:val="single" w:sz="4" w:space="0" w:color="000000"/>
              <w:right w:val="nil"/>
            </w:tcBorders>
            <w:shd w:val="clear" w:color="000000" w:fill="FFFFFF"/>
            <w:vAlign w:val="center"/>
            <w:hideMark/>
          </w:tcPr>
          <w:p w14:paraId="12CABF06"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Greece</w:t>
            </w:r>
          </w:p>
        </w:tc>
        <w:tc>
          <w:tcPr>
            <w:tcW w:w="1233" w:type="dxa"/>
            <w:vMerge w:val="restart"/>
            <w:tcBorders>
              <w:top w:val="nil"/>
              <w:left w:val="nil"/>
              <w:bottom w:val="single" w:sz="4" w:space="0" w:color="000000"/>
              <w:right w:val="nil"/>
            </w:tcBorders>
            <w:shd w:val="clear" w:color="000000" w:fill="FFFFFF"/>
            <w:vAlign w:val="center"/>
            <w:hideMark/>
          </w:tcPr>
          <w:p w14:paraId="070EFD69"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USA</w:t>
            </w:r>
          </w:p>
        </w:tc>
        <w:tc>
          <w:tcPr>
            <w:tcW w:w="1233" w:type="dxa"/>
            <w:vMerge w:val="restart"/>
            <w:tcBorders>
              <w:top w:val="nil"/>
              <w:left w:val="nil"/>
              <w:bottom w:val="single" w:sz="4" w:space="0" w:color="000000"/>
              <w:right w:val="nil"/>
            </w:tcBorders>
            <w:shd w:val="clear" w:color="000000" w:fill="FFFFFF"/>
            <w:vAlign w:val="center"/>
            <w:hideMark/>
          </w:tcPr>
          <w:p w14:paraId="651C4968"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Overall</w:t>
            </w:r>
          </w:p>
        </w:tc>
      </w:tr>
      <w:tr w:rsidR="00DA3256" w:rsidRPr="00DA3256" w14:paraId="560A8A9A" w14:textId="77777777" w:rsidTr="00A56AD0">
        <w:trPr>
          <w:trHeight w:val="397"/>
          <w:jc w:val="center"/>
        </w:trPr>
        <w:tc>
          <w:tcPr>
            <w:tcW w:w="1985" w:type="dxa"/>
            <w:vMerge/>
            <w:tcBorders>
              <w:left w:val="nil"/>
              <w:bottom w:val="single" w:sz="4" w:space="0" w:color="000000"/>
              <w:right w:val="nil"/>
            </w:tcBorders>
            <w:vAlign w:val="center"/>
            <w:hideMark/>
          </w:tcPr>
          <w:p w14:paraId="6E4E8CE8"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1232" w:type="dxa"/>
            <w:vMerge/>
            <w:tcBorders>
              <w:top w:val="nil"/>
              <w:left w:val="nil"/>
              <w:bottom w:val="single" w:sz="4" w:space="0" w:color="000000"/>
              <w:right w:val="nil"/>
            </w:tcBorders>
            <w:vAlign w:val="center"/>
            <w:hideMark/>
          </w:tcPr>
          <w:p w14:paraId="5680958B"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1233" w:type="dxa"/>
            <w:vMerge/>
            <w:tcBorders>
              <w:top w:val="nil"/>
              <w:left w:val="nil"/>
              <w:bottom w:val="single" w:sz="4" w:space="0" w:color="000000"/>
              <w:right w:val="nil"/>
            </w:tcBorders>
            <w:vAlign w:val="center"/>
            <w:hideMark/>
          </w:tcPr>
          <w:p w14:paraId="1DF5D9AD"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1233" w:type="dxa"/>
            <w:vMerge/>
            <w:tcBorders>
              <w:top w:val="nil"/>
              <w:left w:val="nil"/>
              <w:bottom w:val="single" w:sz="4" w:space="0" w:color="000000"/>
              <w:right w:val="nil"/>
            </w:tcBorders>
            <w:vAlign w:val="center"/>
            <w:hideMark/>
          </w:tcPr>
          <w:p w14:paraId="7BAC9610"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1233" w:type="dxa"/>
            <w:vMerge/>
            <w:tcBorders>
              <w:top w:val="nil"/>
              <w:left w:val="nil"/>
              <w:bottom w:val="single" w:sz="4" w:space="0" w:color="000000"/>
              <w:right w:val="nil"/>
            </w:tcBorders>
            <w:vAlign w:val="center"/>
            <w:hideMark/>
          </w:tcPr>
          <w:p w14:paraId="2705EA50"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1233" w:type="dxa"/>
            <w:vMerge/>
            <w:tcBorders>
              <w:top w:val="nil"/>
              <w:left w:val="nil"/>
              <w:bottom w:val="single" w:sz="4" w:space="0" w:color="000000"/>
              <w:right w:val="nil"/>
            </w:tcBorders>
            <w:vAlign w:val="center"/>
            <w:hideMark/>
          </w:tcPr>
          <w:p w14:paraId="28FAB457" w14:textId="77777777" w:rsidR="00DA3256" w:rsidRPr="00DA3256" w:rsidRDefault="00DA3256" w:rsidP="00DA3256">
            <w:pPr>
              <w:tabs>
                <w:tab w:val="clear" w:pos="1134"/>
              </w:tabs>
              <w:suppressAutoHyphens w:val="0"/>
              <w:jc w:val="left"/>
              <w:rPr>
                <w:rFonts w:eastAsia="Times New Roman"/>
                <w:b/>
                <w:bCs/>
                <w:color w:val="000000"/>
                <w:lang w:val="en-US" w:eastAsia="en-US"/>
              </w:rPr>
            </w:pPr>
          </w:p>
        </w:tc>
        <w:tc>
          <w:tcPr>
            <w:tcW w:w="222" w:type="dxa"/>
            <w:tcBorders>
              <w:top w:val="nil"/>
              <w:left w:val="nil"/>
              <w:bottom w:val="nil"/>
              <w:right w:val="nil"/>
            </w:tcBorders>
            <w:shd w:val="clear" w:color="auto" w:fill="auto"/>
            <w:noWrap/>
            <w:vAlign w:val="bottom"/>
            <w:hideMark/>
          </w:tcPr>
          <w:p w14:paraId="34E526B4" w14:textId="77777777" w:rsidR="00DA3256" w:rsidRPr="00DA3256" w:rsidRDefault="00DA3256" w:rsidP="00DA3256">
            <w:pPr>
              <w:tabs>
                <w:tab w:val="clear" w:pos="1134"/>
              </w:tabs>
              <w:suppressAutoHyphens w:val="0"/>
              <w:jc w:val="center"/>
              <w:rPr>
                <w:rFonts w:eastAsia="Times New Roman"/>
                <w:b/>
                <w:bCs/>
                <w:color w:val="000000"/>
                <w:sz w:val="22"/>
                <w:szCs w:val="22"/>
                <w:lang w:val="en-US" w:eastAsia="en-US"/>
              </w:rPr>
            </w:pPr>
          </w:p>
        </w:tc>
      </w:tr>
      <w:tr w:rsidR="00DA3256" w:rsidRPr="00DA3256" w14:paraId="40161E7E" w14:textId="77777777" w:rsidTr="00A56AD0">
        <w:trPr>
          <w:trHeight w:val="397"/>
          <w:jc w:val="center"/>
        </w:trPr>
        <w:tc>
          <w:tcPr>
            <w:tcW w:w="1985" w:type="dxa"/>
            <w:tcBorders>
              <w:top w:val="nil"/>
              <w:left w:val="nil"/>
              <w:bottom w:val="nil"/>
              <w:right w:val="nil"/>
            </w:tcBorders>
            <w:shd w:val="clear" w:color="000000" w:fill="FFFFFF"/>
            <w:vAlign w:val="center"/>
            <w:hideMark/>
          </w:tcPr>
          <w:p w14:paraId="6D740D29"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Original Images</w:t>
            </w:r>
          </w:p>
        </w:tc>
        <w:tc>
          <w:tcPr>
            <w:tcW w:w="1232" w:type="dxa"/>
            <w:tcBorders>
              <w:top w:val="nil"/>
              <w:left w:val="nil"/>
              <w:bottom w:val="nil"/>
              <w:right w:val="nil"/>
            </w:tcBorders>
            <w:shd w:val="clear" w:color="000000" w:fill="FFFFFF"/>
            <w:noWrap/>
            <w:vAlign w:val="center"/>
            <w:hideMark/>
          </w:tcPr>
          <w:p w14:paraId="1829C838"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94.50%</w:t>
            </w:r>
          </w:p>
        </w:tc>
        <w:tc>
          <w:tcPr>
            <w:tcW w:w="1233" w:type="dxa"/>
            <w:tcBorders>
              <w:top w:val="nil"/>
              <w:left w:val="nil"/>
              <w:bottom w:val="nil"/>
              <w:right w:val="nil"/>
            </w:tcBorders>
            <w:shd w:val="clear" w:color="000000" w:fill="FFFFFF"/>
            <w:noWrap/>
            <w:vAlign w:val="center"/>
            <w:hideMark/>
          </w:tcPr>
          <w:p w14:paraId="15F2DC98"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90.06%</w:t>
            </w:r>
          </w:p>
        </w:tc>
        <w:tc>
          <w:tcPr>
            <w:tcW w:w="1233" w:type="dxa"/>
            <w:tcBorders>
              <w:top w:val="nil"/>
              <w:left w:val="nil"/>
              <w:bottom w:val="nil"/>
              <w:right w:val="nil"/>
            </w:tcBorders>
            <w:shd w:val="clear" w:color="000000" w:fill="FFFFFF"/>
            <w:noWrap/>
            <w:vAlign w:val="center"/>
            <w:hideMark/>
          </w:tcPr>
          <w:p w14:paraId="21057B4D"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93.05%</w:t>
            </w:r>
          </w:p>
        </w:tc>
        <w:tc>
          <w:tcPr>
            <w:tcW w:w="1233" w:type="dxa"/>
            <w:tcBorders>
              <w:top w:val="nil"/>
              <w:left w:val="nil"/>
              <w:bottom w:val="nil"/>
              <w:right w:val="nil"/>
            </w:tcBorders>
            <w:shd w:val="clear" w:color="000000" w:fill="FFFFFF"/>
            <w:noWrap/>
            <w:vAlign w:val="center"/>
            <w:hideMark/>
          </w:tcPr>
          <w:p w14:paraId="6A5808C5"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91.12%</w:t>
            </w:r>
          </w:p>
        </w:tc>
        <w:tc>
          <w:tcPr>
            <w:tcW w:w="1233" w:type="dxa"/>
            <w:tcBorders>
              <w:top w:val="nil"/>
              <w:left w:val="nil"/>
              <w:bottom w:val="nil"/>
              <w:right w:val="nil"/>
            </w:tcBorders>
            <w:shd w:val="clear" w:color="000000" w:fill="FFFFFF"/>
            <w:noWrap/>
            <w:vAlign w:val="center"/>
            <w:hideMark/>
          </w:tcPr>
          <w:p w14:paraId="4E555890"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92.18%</w:t>
            </w:r>
          </w:p>
        </w:tc>
        <w:tc>
          <w:tcPr>
            <w:tcW w:w="222" w:type="dxa"/>
            <w:vAlign w:val="center"/>
            <w:hideMark/>
          </w:tcPr>
          <w:p w14:paraId="3B3374D7" w14:textId="77777777" w:rsidR="00DA3256" w:rsidRPr="00DA3256" w:rsidRDefault="00DA3256" w:rsidP="00DA3256">
            <w:pPr>
              <w:tabs>
                <w:tab w:val="clear" w:pos="1134"/>
              </w:tabs>
              <w:suppressAutoHyphens w:val="0"/>
              <w:jc w:val="left"/>
              <w:rPr>
                <w:rFonts w:eastAsia="Times New Roman"/>
                <w:lang w:val="en-US" w:eastAsia="en-US"/>
              </w:rPr>
            </w:pPr>
          </w:p>
        </w:tc>
      </w:tr>
      <w:tr w:rsidR="00DA3256" w:rsidRPr="00DA3256" w14:paraId="3F13EAE6" w14:textId="77777777" w:rsidTr="00A56AD0">
        <w:trPr>
          <w:trHeight w:val="397"/>
          <w:jc w:val="center"/>
        </w:trPr>
        <w:tc>
          <w:tcPr>
            <w:tcW w:w="1985" w:type="dxa"/>
            <w:tcBorders>
              <w:top w:val="nil"/>
              <w:left w:val="nil"/>
              <w:bottom w:val="nil"/>
              <w:right w:val="nil"/>
            </w:tcBorders>
            <w:shd w:val="clear" w:color="000000" w:fill="FFFFFF"/>
            <w:vAlign w:val="center"/>
            <w:hideMark/>
          </w:tcPr>
          <w:p w14:paraId="2B9C9F11"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IR-MAD</w:t>
            </w:r>
          </w:p>
        </w:tc>
        <w:tc>
          <w:tcPr>
            <w:tcW w:w="1232" w:type="dxa"/>
            <w:tcBorders>
              <w:top w:val="nil"/>
              <w:left w:val="nil"/>
              <w:bottom w:val="nil"/>
              <w:right w:val="nil"/>
            </w:tcBorders>
            <w:shd w:val="clear" w:color="000000" w:fill="FFFFFF"/>
            <w:noWrap/>
            <w:vAlign w:val="center"/>
            <w:hideMark/>
          </w:tcPr>
          <w:p w14:paraId="328F1A1B"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97.98%</w:t>
            </w:r>
          </w:p>
        </w:tc>
        <w:tc>
          <w:tcPr>
            <w:tcW w:w="1233" w:type="dxa"/>
            <w:tcBorders>
              <w:top w:val="nil"/>
              <w:left w:val="nil"/>
              <w:bottom w:val="nil"/>
              <w:right w:val="nil"/>
            </w:tcBorders>
            <w:shd w:val="clear" w:color="000000" w:fill="FFFFFF"/>
            <w:noWrap/>
            <w:vAlign w:val="center"/>
            <w:hideMark/>
          </w:tcPr>
          <w:p w14:paraId="36E949DD"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92.24%</w:t>
            </w:r>
          </w:p>
        </w:tc>
        <w:tc>
          <w:tcPr>
            <w:tcW w:w="1233" w:type="dxa"/>
            <w:tcBorders>
              <w:top w:val="nil"/>
              <w:left w:val="nil"/>
              <w:bottom w:val="nil"/>
              <w:right w:val="nil"/>
            </w:tcBorders>
            <w:shd w:val="clear" w:color="000000" w:fill="FFFFFF"/>
            <w:noWrap/>
            <w:vAlign w:val="center"/>
            <w:hideMark/>
          </w:tcPr>
          <w:p w14:paraId="2EC364C6"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93.95%</w:t>
            </w:r>
          </w:p>
        </w:tc>
        <w:tc>
          <w:tcPr>
            <w:tcW w:w="1233" w:type="dxa"/>
            <w:tcBorders>
              <w:top w:val="nil"/>
              <w:left w:val="nil"/>
              <w:bottom w:val="nil"/>
              <w:right w:val="nil"/>
            </w:tcBorders>
            <w:shd w:val="clear" w:color="000000" w:fill="FFFFFF"/>
            <w:noWrap/>
            <w:vAlign w:val="center"/>
            <w:hideMark/>
          </w:tcPr>
          <w:p w14:paraId="18FDD055"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91.25%</w:t>
            </w:r>
          </w:p>
        </w:tc>
        <w:tc>
          <w:tcPr>
            <w:tcW w:w="1233" w:type="dxa"/>
            <w:tcBorders>
              <w:top w:val="nil"/>
              <w:left w:val="nil"/>
              <w:bottom w:val="nil"/>
              <w:right w:val="nil"/>
            </w:tcBorders>
            <w:shd w:val="clear" w:color="000000" w:fill="FFFFFF"/>
            <w:noWrap/>
            <w:vAlign w:val="center"/>
            <w:hideMark/>
          </w:tcPr>
          <w:p w14:paraId="5C2DFC88"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93.85%</w:t>
            </w:r>
          </w:p>
        </w:tc>
        <w:tc>
          <w:tcPr>
            <w:tcW w:w="222" w:type="dxa"/>
            <w:vAlign w:val="center"/>
            <w:hideMark/>
          </w:tcPr>
          <w:p w14:paraId="6B3DDB53" w14:textId="77777777" w:rsidR="00DA3256" w:rsidRPr="00DA3256" w:rsidRDefault="00DA3256" w:rsidP="00DA3256">
            <w:pPr>
              <w:tabs>
                <w:tab w:val="clear" w:pos="1134"/>
              </w:tabs>
              <w:suppressAutoHyphens w:val="0"/>
              <w:jc w:val="left"/>
              <w:rPr>
                <w:rFonts w:eastAsia="Times New Roman"/>
                <w:lang w:val="en-US" w:eastAsia="en-US"/>
              </w:rPr>
            </w:pPr>
          </w:p>
        </w:tc>
      </w:tr>
      <w:tr w:rsidR="00DA3256" w:rsidRPr="00DA3256" w14:paraId="7090F581" w14:textId="77777777" w:rsidTr="00A56AD0">
        <w:trPr>
          <w:trHeight w:val="397"/>
          <w:jc w:val="center"/>
        </w:trPr>
        <w:tc>
          <w:tcPr>
            <w:tcW w:w="1985" w:type="dxa"/>
            <w:tcBorders>
              <w:top w:val="nil"/>
              <w:left w:val="nil"/>
              <w:bottom w:val="single" w:sz="4" w:space="0" w:color="auto"/>
              <w:right w:val="nil"/>
            </w:tcBorders>
            <w:shd w:val="clear" w:color="000000" w:fill="FFFFFF"/>
            <w:vAlign w:val="center"/>
            <w:hideMark/>
          </w:tcPr>
          <w:p w14:paraId="7A275B2F" w14:textId="77777777" w:rsidR="00DA3256" w:rsidRPr="00DA3256" w:rsidRDefault="00DA3256" w:rsidP="00DA3256">
            <w:pPr>
              <w:tabs>
                <w:tab w:val="clear" w:pos="1134"/>
              </w:tabs>
              <w:suppressAutoHyphens w:val="0"/>
              <w:jc w:val="left"/>
              <w:rPr>
                <w:rFonts w:eastAsia="Times New Roman"/>
                <w:color w:val="000000"/>
                <w:lang w:val="en-US" w:eastAsia="en-US"/>
              </w:rPr>
            </w:pPr>
            <w:r w:rsidRPr="00DA3256">
              <w:rPr>
                <w:rFonts w:eastAsia="Times New Roman"/>
                <w:color w:val="000000"/>
                <w:lang w:val="en-US" w:eastAsia="en-US"/>
              </w:rPr>
              <w:t>Relaxation Algorithm (Proposed)</w:t>
            </w:r>
          </w:p>
        </w:tc>
        <w:tc>
          <w:tcPr>
            <w:tcW w:w="1232" w:type="dxa"/>
            <w:tcBorders>
              <w:top w:val="nil"/>
              <w:left w:val="nil"/>
              <w:bottom w:val="single" w:sz="4" w:space="0" w:color="auto"/>
              <w:right w:val="nil"/>
            </w:tcBorders>
            <w:shd w:val="clear" w:color="000000" w:fill="FFFFFF"/>
            <w:noWrap/>
            <w:vAlign w:val="center"/>
            <w:hideMark/>
          </w:tcPr>
          <w:p w14:paraId="52E20DEA" w14:textId="77777777" w:rsidR="00DA3256" w:rsidRPr="00DA3256" w:rsidRDefault="00DA3256" w:rsidP="00DA3256">
            <w:pPr>
              <w:tabs>
                <w:tab w:val="clear" w:pos="1134"/>
              </w:tabs>
              <w:suppressAutoHyphens w:val="0"/>
              <w:jc w:val="center"/>
              <w:rPr>
                <w:rFonts w:eastAsia="Times New Roman"/>
                <w:color w:val="000000"/>
                <w:lang w:val="en-US" w:eastAsia="en-US"/>
              </w:rPr>
            </w:pPr>
            <w:r w:rsidRPr="00DA3256">
              <w:rPr>
                <w:rFonts w:eastAsia="Times New Roman"/>
                <w:color w:val="000000"/>
                <w:lang w:val="en-US" w:eastAsia="en-US"/>
              </w:rPr>
              <w:t>97.64%</w:t>
            </w:r>
          </w:p>
        </w:tc>
        <w:tc>
          <w:tcPr>
            <w:tcW w:w="1233" w:type="dxa"/>
            <w:tcBorders>
              <w:top w:val="nil"/>
              <w:left w:val="nil"/>
              <w:bottom w:val="single" w:sz="4" w:space="0" w:color="auto"/>
              <w:right w:val="nil"/>
            </w:tcBorders>
            <w:shd w:val="clear" w:color="000000" w:fill="FFFFFF"/>
            <w:noWrap/>
            <w:vAlign w:val="center"/>
            <w:hideMark/>
          </w:tcPr>
          <w:p w14:paraId="453C9CF4"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92.45%</w:t>
            </w:r>
          </w:p>
        </w:tc>
        <w:tc>
          <w:tcPr>
            <w:tcW w:w="1233" w:type="dxa"/>
            <w:tcBorders>
              <w:top w:val="nil"/>
              <w:left w:val="nil"/>
              <w:bottom w:val="single" w:sz="4" w:space="0" w:color="auto"/>
              <w:right w:val="nil"/>
            </w:tcBorders>
            <w:shd w:val="clear" w:color="000000" w:fill="FFFFFF"/>
            <w:noWrap/>
            <w:vAlign w:val="center"/>
            <w:hideMark/>
          </w:tcPr>
          <w:p w14:paraId="415E1967"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94.70%</w:t>
            </w:r>
          </w:p>
        </w:tc>
        <w:tc>
          <w:tcPr>
            <w:tcW w:w="1233" w:type="dxa"/>
            <w:tcBorders>
              <w:top w:val="nil"/>
              <w:left w:val="nil"/>
              <w:bottom w:val="single" w:sz="4" w:space="0" w:color="auto"/>
              <w:right w:val="nil"/>
            </w:tcBorders>
            <w:shd w:val="clear" w:color="000000" w:fill="FFFFFF"/>
            <w:noWrap/>
            <w:vAlign w:val="center"/>
            <w:hideMark/>
          </w:tcPr>
          <w:p w14:paraId="52015950"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91.25%</w:t>
            </w:r>
          </w:p>
        </w:tc>
        <w:tc>
          <w:tcPr>
            <w:tcW w:w="1233" w:type="dxa"/>
            <w:tcBorders>
              <w:top w:val="nil"/>
              <w:left w:val="nil"/>
              <w:bottom w:val="single" w:sz="4" w:space="0" w:color="auto"/>
              <w:right w:val="nil"/>
            </w:tcBorders>
            <w:shd w:val="clear" w:color="000000" w:fill="FFFFFF"/>
            <w:noWrap/>
            <w:vAlign w:val="center"/>
            <w:hideMark/>
          </w:tcPr>
          <w:p w14:paraId="18CC2430" w14:textId="77777777" w:rsidR="00DA3256" w:rsidRPr="00DA3256" w:rsidRDefault="00DA3256" w:rsidP="00DA3256">
            <w:pPr>
              <w:tabs>
                <w:tab w:val="clear" w:pos="1134"/>
              </w:tabs>
              <w:suppressAutoHyphens w:val="0"/>
              <w:jc w:val="center"/>
              <w:rPr>
                <w:rFonts w:eastAsia="Times New Roman"/>
                <w:b/>
                <w:bCs/>
                <w:color w:val="000000"/>
                <w:lang w:val="en-US" w:eastAsia="en-US"/>
              </w:rPr>
            </w:pPr>
            <w:r w:rsidRPr="00DA3256">
              <w:rPr>
                <w:rFonts w:eastAsia="Times New Roman"/>
                <w:b/>
                <w:bCs/>
                <w:color w:val="000000"/>
                <w:lang w:val="en-US" w:eastAsia="en-US"/>
              </w:rPr>
              <w:t>94.01%</w:t>
            </w:r>
          </w:p>
        </w:tc>
        <w:tc>
          <w:tcPr>
            <w:tcW w:w="222" w:type="dxa"/>
            <w:vAlign w:val="center"/>
            <w:hideMark/>
          </w:tcPr>
          <w:p w14:paraId="6A94FBE8" w14:textId="77777777" w:rsidR="00DA3256" w:rsidRPr="00DA3256" w:rsidRDefault="00DA3256" w:rsidP="00DA3256">
            <w:pPr>
              <w:tabs>
                <w:tab w:val="clear" w:pos="1134"/>
              </w:tabs>
              <w:suppressAutoHyphens w:val="0"/>
              <w:jc w:val="left"/>
              <w:rPr>
                <w:rFonts w:eastAsia="Times New Roman"/>
                <w:lang w:val="en-US" w:eastAsia="en-US"/>
              </w:rPr>
            </w:pPr>
          </w:p>
        </w:tc>
      </w:tr>
    </w:tbl>
    <w:p w14:paraId="3A5BA52C" w14:textId="0A4FEAEC" w:rsidR="009A46E9" w:rsidRDefault="009207EE" w:rsidP="009A46E9">
      <w:pPr>
        <w:widowControl w:val="0"/>
        <w:numPr>
          <w:ilvl w:val="0"/>
          <w:numId w:val="4"/>
        </w:numPr>
        <w:tabs>
          <w:tab w:val="clear" w:pos="1134"/>
        </w:tabs>
        <w:suppressAutoHyphens w:val="0"/>
        <w:kinsoku w:val="0"/>
        <w:overflowPunct w:val="0"/>
        <w:snapToGrid w:val="0"/>
        <w:spacing w:beforeLines="50" w:before="120"/>
        <w:rPr>
          <w:rFonts w:eastAsia="DFKai-SB"/>
          <w:b/>
        </w:rPr>
      </w:pPr>
      <w:r>
        <w:rPr>
          <w:rFonts w:eastAsia="DFKai-SB"/>
          <w:b/>
        </w:rPr>
        <w:t>Conclusions</w:t>
      </w:r>
    </w:p>
    <w:p w14:paraId="760C2225" w14:textId="0343C95B" w:rsidR="009A46E9" w:rsidRPr="009A46E9" w:rsidRDefault="009A46E9" w:rsidP="009A46E9">
      <w:pPr>
        <w:widowControl w:val="0"/>
        <w:tabs>
          <w:tab w:val="clear" w:pos="1134"/>
        </w:tabs>
        <w:suppressAutoHyphens w:val="0"/>
        <w:kinsoku w:val="0"/>
        <w:overflowPunct w:val="0"/>
        <w:snapToGrid w:val="0"/>
        <w:spacing w:beforeLines="50" w:before="120"/>
      </w:pPr>
      <w:r w:rsidRPr="009A46E9">
        <w:t>The results of this study lead to the conclusion that the proposed relaxation algorithm serves as a proficient technique for enhancing image consistency in multitemporal cross-sensor image datasets. Both qualitative and quantitative evaluations demonstrate that our relaxation algorithm surpasses the performance of IR-MAD and the original images by mitigating image disparities, retaining significant features, and enhancing the precision and uniformity of surface reflectance values. The introduced relaxation algorithm holds promise as a valuable resource for researchers and professionals engaged in projects involving such datasets.</w:t>
      </w:r>
    </w:p>
    <w:p w14:paraId="4CF38BE4" w14:textId="0CA82114" w:rsidR="009A46E9" w:rsidRDefault="009A46E9" w:rsidP="009A46E9">
      <w:pPr>
        <w:widowControl w:val="0"/>
        <w:numPr>
          <w:ilvl w:val="0"/>
          <w:numId w:val="4"/>
        </w:numPr>
        <w:tabs>
          <w:tab w:val="clear" w:pos="1134"/>
        </w:tabs>
        <w:suppressAutoHyphens w:val="0"/>
        <w:kinsoku w:val="0"/>
        <w:overflowPunct w:val="0"/>
        <w:snapToGrid w:val="0"/>
        <w:spacing w:beforeLines="50" w:before="120"/>
        <w:rPr>
          <w:rFonts w:eastAsia="DFKai-SB"/>
          <w:b/>
        </w:rPr>
      </w:pPr>
      <w:r>
        <w:rPr>
          <w:rFonts w:eastAsia="DFKai-SB"/>
          <w:b/>
        </w:rPr>
        <w:t>Reference</w:t>
      </w:r>
    </w:p>
    <w:p w14:paraId="391BCB50" w14:textId="77777777" w:rsidR="002C434C" w:rsidRPr="002C434C" w:rsidRDefault="002C434C" w:rsidP="002C434C">
      <w:pPr>
        <w:pStyle w:val="Bibliography"/>
        <w:spacing w:before="240" w:line="240" w:lineRule="auto"/>
        <w:ind w:left="0" w:firstLine="0"/>
      </w:pPr>
      <w:r>
        <w:rPr>
          <w:rFonts w:eastAsia="DFKai-SB"/>
          <w:b/>
        </w:rPr>
        <w:fldChar w:fldCharType="begin"/>
      </w:r>
      <w:r>
        <w:rPr>
          <w:rFonts w:eastAsia="DFKai-SB"/>
          <w:b/>
        </w:rPr>
        <w:instrText xml:space="preserve"> ADDIN ZOTERO_BIBL {"uncited":[],"omitted":[],"custom":[]} CSL_BIBLIOGRAPHY </w:instrText>
      </w:r>
      <w:r>
        <w:rPr>
          <w:rFonts w:eastAsia="DFKai-SB"/>
          <w:b/>
        </w:rPr>
        <w:fldChar w:fldCharType="separate"/>
      </w:r>
      <w:r w:rsidRPr="002C434C">
        <w:t xml:space="preserve">Denaro, L. G., &amp; Lin, C.-H. (2019). Nonlinear Relative Radiometric Normalization For Landsat 7 and Landsat 8 Imagery. </w:t>
      </w:r>
      <w:r w:rsidRPr="002C434C">
        <w:rPr>
          <w:i/>
          <w:iCs/>
        </w:rPr>
        <w:t>IGARSS 2019 - 2019 IEEE International Geoscience and Remote Sensing Symposium</w:t>
      </w:r>
      <w:r w:rsidRPr="002C434C">
        <w:t>, 1967–1969. https://ieeexplore.ieee.org/document/8900651/</w:t>
      </w:r>
    </w:p>
    <w:p w14:paraId="7A5387D0" w14:textId="77777777" w:rsidR="002C434C" w:rsidRPr="002C434C" w:rsidRDefault="002C434C" w:rsidP="002C434C">
      <w:pPr>
        <w:pStyle w:val="Bibliography"/>
        <w:spacing w:before="240" w:line="240" w:lineRule="auto"/>
        <w:ind w:left="0" w:firstLine="0"/>
      </w:pPr>
      <w:r w:rsidRPr="002C434C">
        <w:t xml:space="preserve">Gan, W., Albanwan, H., &amp; Qin, R. (2021). Radiometric Normalization of Multitemporal Landsat and Sentinel-2 Images Using a Reference MODIS Product Through Spatiotemporal Filtering. </w:t>
      </w:r>
      <w:r w:rsidRPr="002C434C">
        <w:rPr>
          <w:i/>
          <w:iCs/>
        </w:rPr>
        <w:t>IEEE Journal of Selected Topics in Applied Earth Observations and Remote Sensing</w:t>
      </w:r>
      <w:r w:rsidRPr="002C434C">
        <w:t xml:space="preserve">, </w:t>
      </w:r>
      <w:r w:rsidRPr="002C434C">
        <w:rPr>
          <w:i/>
          <w:iCs/>
        </w:rPr>
        <w:t>14</w:t>
      </w:r>
      <w:r w:rsidRPr="002C434C">
        <w:t>, 4000–4013.</w:t>
      </w:r>
    </w:p>
    <w:p w14:paraId="718E28E6" w14:textId="77777777" w:rsidR="002C434C" w:rsidRPr="002C434C" w:rsidRDefault="002C434C" w:rsidP="002C434C">
      <w:pPr>
        <w:pStyle w:val="Bibliography"/>
        <w:spacing w:before="240" w:line="240" w:lineRule="auto"/>
        <w:ind w:left="0" w:firstLine="0"/>
      </w:pPr>
      <w:r w:rsidRPr="002C434C">
        <w:t xml:space="preserve">Hemingway, B. L., &amp; Frazier, A. E. (2021). Cross-sensor radiometric normalization of Planet smallsat data using Sentinel-2 to improve consistency across scenes and environments. In L. Bruzzone, F. Bovolo, &amp; J. A. Benediktsson (Eds.), </w:t>
      </w:r>
      <w:r w:rsidRPr="002C434C">
        <w:rPr>
          <w:i/>
          <w:iCs/>
        </w:rPr>
        <w:t>Image and Signal Processing for Remote Sensing XXVII</w:t>
      </w:r>
      <w:r w:rsidRPr="002C434C">
        <w:t xml:space="preserve"> (p. 1). SPIE. https://doi.org/10.1117/12.2600246</w:t>
      </w:r>
    </w:p>
    <w:p w14:paraId="75C406F2" w14:textId="77777777" w:rsidR="002C434C" w:rsidRPr="002C434C" w:rsidRDefault="002C434C" w:rsidP="002C434C">
      <w:pPr>
        <w:pStyle w:val="Bibliography"/>
        <w:spacing w:before="240" w:line="240" w:lineRule="auto"/>
        <w:ind w:left="0" w:firstLine="0"/>
      </w:pPr>
      <w:r w:rsidRPr="002C434C">
        <w:t xml:space="preserve">Lin, B.-Y., Wang, Z.-J., Syariz, M. A., Denaro, L. G., &amp; Lin, C.-H. (2019). Pseudoinvariant Feature Selection Using Multitemporal MAD for Optical Satellite Images. </w:t>
      </w:r>
      <w:r w:rsidRPr="002C434C">
        <w:rPr>
          <w:i/>
          <w:iCs/>
        </w:rPr>
        <w:t>IEEE Geoscience and Remote Sensing Letters</w:t>
      </w:r>
      <w:r w:rsidRPr="002C434C">
        <w:t xml:space="preserve">, </w:t>
      </w:r>
      <w:r w:rsidRPr="002C434C">
        <w:rPr>
          <w:i/>
          <w:iCs/>
        </w:rPr>
        <w:t>16</w:t>
      </w:r>
      <w:r w:rsidRPr="002C434C">
        <w:t>(9), 1353–1357.</w:t>
      </w:r>
    </w:p>
    <w:p w14:paraId="7C4B7ACE" w14:textId="77777777" w:rsidR="002C434C" w:rsidRPr="002C434C" w:rsidRDefault="002C434C" w:rsidP="002C434C">
      <w:pPr>
        <w:pStyle w:val="Bibliography"/>
        <w:spacing w:before="240" w:line="240" w:lineRule="auto"/>
        <w:ind w:left="0" w:firstLine="0"/>
      </w:pPr>
      <w:r w:rsidRPr="002C434C">
        <w:lastRenderedPageBreak/>
        <w:t xml:space="preserve">Nielsen, A. A. (2007). The Regularized Iteratively Reweighted MAD Method for Change Detection in Multi- and Hyperspectral Data. </w:t>
      </w:r>
      <w:r w:rsidRPr="002C434C">
        <w:rPr>
          <w:i/>
          <w:iCs/>
        </w:rPr>
        <w:t>IEEE Transactions on Image Processing</w:t>
      </w:r>
      <w:r w:rsidRPr="002C434C">
        <w:t xml:space="preserve">, </w:t>
      </w:r>
      <w:r w:rsidRPr="002C434C">
        <w:rPr>
          <w:i/>
          <w:iCs/>
        </w:rPr>
        <w:t>16</w:t>
      </w:r>
      <w:r w:rsidRPr="002C434C">
        <w:t>(2), 463–478.</w:t>
      </w:r>
    </w:p>
    <w:p w14:paraId="76B32BA4" w14:textId="77777777" w:rsidR="002C434C" w:rsidRPr="002C434C" w:rsidRDefault="002C434C" w:rsidP="002C434C">
      <w:pPr>
        <w:pStyle w:val="Bibliography"/>
        <w:spacing w:before="240" w:line="240" w:lineRule="auto"/>
        <w:ind w:left="0" w:firstLine="0"/>
      </w:pPr>
      <w:r w:rsidRPr="002C434C">
        <w:t xml:space="preserve">Nielsen, A. A., Conradsen, K., &amp; Simpson, J. J. (1998). Multivariate Alteration Detection (MAD) and MAF Postprocessing in Multispectral, Bitemporal Image Data: New Approaches to Change Detection Studies. </w:t>
      </w:r>
      <w:r w:rsidRPr="002C434C">
        <w:rPr>
          <w:i/>
          <w:iCs/>
        </w:rPr>
        <w:t>Remote Sensing of Environment</w:t>
      </w:r>
      <w:r w:rsidRPr="002C434C">
        <w:t xml:space="preserve">, </w:t>
      </w:r>
      <w:r w:rsidRPr="002C434C">
        <w:rPr>
          <w:i/>
          <w:iCs/>
        </w:rPr>
        <w:t>64</w:t>
      </w:r>
      <w:r w:rsidRPr="002C434C">
        <w:t>(1), 1–19.</w:t>
      </w:r>
    </w:p>
    <w:p w14:paraId="529E27B1" w14:textId="77777777" w:rsidR="002C434C" w:rsidRPr="002C434C" w:rsidRDefault="002C434C" w:rsidP="002C434C">
      <w:pPr>
        <w:pStyle w:val="Bibliography"/>
        <w:spacing w:before="240" w:line="240" w:lineRule="auto"/>
        <w:ind w:left="0" w:firstLine="0"/>
      </w:pPr>
      <w:r w:rsidRPr="002C434C">
        <w:t xml:space="preserve">Ninin, J., Messine, F., &amp; Hansen, P. (2015). A reliable affine relaxation method for global optimization. </w:t>
      </w:r>
      <w:r w:rsidRPr="002C434C">
        <w:rPr>
          <w:i/>
          <w:iCs/>
        </w:rPr>
        <w:t>4OR</w:t>
      </w:r>
      <w:r w:rsidRPr="002C434C">
        <w:t xml:space="preserve">, </w:t>
      </w:r>
      <w:r w:rsidRPr="002C434C">
        <w:rPr>
          <w:i/>
          <w:iCs/>
        </w:rPr>
        <w:t>13</w:t>
      </w:r>
      <w:r w:rsidRPr="002C434C">
        <w:t>(3), 247–277.</w:t>
      </w:r>
    </w:p>
    <w:p w14:paraId="1865878C" w14:textId="77777777" w:rsidR="002C434C" w:rsidRPr="002C434C" w:rsidRDefault="002C434C" w:rsidP="002C434C">
      <w:pPr>
        <w:pStyle w:val="Bibliography"/>
        <w:spacing w:before="240" w:line="240" w:lineRule="auto"/>
        <w:ind w:left="0" w:firstLine="0"/>
      </w:pPr>
      <w:r w:rsidRPr="002C434C">
        <w:t xml:space="preserve">Rayegani, B., Barati, S., &amp; Sarkheil, H. (2021). A simple model for PIFs extraction at digital change detection approach. </w:t>
      </w:r>
      <w:r w:rsidRPr="002C434C">
        <w:rPr>
          <w:i/>
          <w:iCs/>
        </w:rPr>
        <w:t>Modeling Earth Systems and Environment</w:t>
      </w:r>
      <w:r w:rsidRPr="002C434C">
        <w:t xml:space="preserve">, </w:t>
      </w:r>
      <w:r w:rsidRPr="002C434C">
        <w:rPr>
          <w:i/>
          <w:iCs/>
        </w:rPr>
        <w:t>7</w:t>
      </w:r>
      <w:r w:rsidRPr="002C434C">
        <w:t>(3), 1769–1781. https://doi.org/10.1007/s40808-020-00905-8</w:t>
      </w:r>
    </w:p>
    <w:p w14:paraId="0A0DBBF6" w14:textId="77777777" w:rsidR="002C434C" w:rsidRPr="002C434C" w:rsidRDefault="002C434C" w:rsidP="002C434C">
      <w:pPr>
        <w:pStyle w:val="Bibliography"/>
        <w:spacing w:before="240" w:line="240" w:lineRule="auto"/>
        <w:ind w:left="0" w:firstLine="0"/>
      </w:pPr>
      <w:r w:rsidRPr="002C434C">
        <w:t xml:space="preserve">Sadeghi, V., Ahmadi, F. F., &amp; Ebadi, H. (2017). A new automatic regression-based approach for relative radiometric normalization of multitemporal satellite imagery. </w:t>
      </w:r>
      <w:r w:rsidRPr="002C434C">
        <w:rPr>
          <w:i/>
          <w:iCs/>
        </w:rPr>
        <w:t>Computational and Applied Mathematics</w:t>
      </w:r>
      <w:r w:rsidRPr="002C434C">
        <w:t xml:space="preserve">, </w:t>
      </w:r>
      <w:r w:rsidRPr="002C434C">
        <w:rPr>
          <w:i/>
          <w:iCs/>
        </w:rPr>
        <w:t>36</w:t>
      </w:r>
      <w:r w:rsidRPr="002C434C">
        <w:t>(2), 825–842.</w:t>
      </w:r>
    </w:p>
    <w:p w14:paraId="41597828" w14:textId="7E8E0160" w:rsidR="002C434C" w:rsidRPr="009A46E9" w:rsidRDefault="002C434C" w:rsidP="002C434C">
      <w:pPr>
        <w:widowControl w:val="0"/>
        <w:tabs>
          <w:tab w:val="clear" w:pos="1134"/>
        </w:tabs>
        <w:suppressAutoHyphens w:val="0"/>
        <w:kinsoku w:val="0"/>
        <w:overflowPunct w:val="0"/>
        <w:snapToGrid w:val="0"/>
        <w:spacing w:beforeLines="50" w:before="120"/>
        <w:rPr>
          <w:rFonts w:eastAsia="DFKai-SB"/>
          <w:b/>
        </w:rPr>
      </w:pPr>
      <w:r>
        <w:rPr>
          <w:rFonts w:eastAsia="DFKai-SB"/>
          <w:b/>
        </w:rPr>
        <w:fldChar w:fldCharType="end"/>
      </w:r>
    </w:p>
    <w:sectPr w:rsidR="002C434C" w:rsidRPr="009A46E9" w:rsidSect="00B13434">
      <w:headerReference w:type="default" r:id="rId1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B576" w14:textId="77777777" w:rsidR="00FC1EAC" w:rsidRDefault="00FC1EAC" w:rsidP="00AC30C3">
      <w:r>
        <w:separator/>
      </w:r>
    </w:p>
  </w:endnote>
  <w:endnote w:type="continuationSeparator" w:id="0">
    <w:p w14:paraId="4EB727A0" w14:textId="77777777" w:rsidR="00FC1EAC" w:rsidRDefault="00FC1EAC"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FKai-SB">
    <w:altName w:val="Microsoft JhengHei"/>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A8530" w14:textId="77777777" w:rsidR="00FC1EAC" w:rsidRDefault="00FC1EAC" w:rsidP="00AC30C3">
      <w:r>
        <w:separator/>
      </w:r>
    </w:p>
  </w:footnote>
  <w:footnote w:type="continuationSeparator" w:id="0">
    <w:p w14:paraId="00508663" w14:textId="77777777" w:rsidR="00FC1EAC" w:rsidRDefault="00FC1EAC"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84DECDEC"/>
    <w:lvl w:ilvl="0">
      <w:start w:val="1"/>
      <w:numFmt w:val="decimal"/>
      <w:pStyle w:val="Heading1"/>
      <w:lvlText w:val="%1."/>
      <w:lvlJc w:val="left"/>
      <w:pPr>
        <w:tabs>
          <w:tab w:val="num" w:pos="360"/>
        </w:tabs>
        <w:ind w:left="0" w:firstLine="0"/>
      </w:pPr>
      <w:rPr>
        <w:rFonts w:ascii="Times New Roman" w:hAnsi="Times New Roman" w:hint="default"/>
        <w:b/>
        <w:i w:val="0"/>
        <w:sz w:val="18"/>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2" w15:restartNumberingAfterBreak="0">
    <w:nsid w:val="34EA4393"/>
    <w:multiLevelType w:val="hybridMultilevel"/>
    <w:tmpl w:val="94201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9E2B1C"/>
    <w:multiLevelType w:val="hybridMultilevel"/>
    <w:tmpl w:val="6694C986"/>
    <w:lvl w:ilvl="0" w:tplc="1758D1F0">
      <w:start w:val="1"/>
      <w:numFmt w:val="lowerRoman"/>
      <w:lvlText w:val="%1."/>
      <w:lvlJc w:val="left"/>
      <w:pPr>
        <w:ind w:left="714" w:hanging="72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4" w15:restartNumberingAfterBreak="0">
    <w:nsid w:val="4E457676"/>
    <w:multiLevelType w:val="multilevel"/>
    <w:tmpl w:val="838C329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Roman"/>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7161423">
    <w:abstractNumId w:val="0"/>
  </w:num>
  <w:num w:numId="2" w16cid:durableId="237833591">
    <w:abstractNumId w:val="1"/>
  </w:num>
  <w:num w:numId="3" w16cid:durableId="1016611168">
    <w:abstractNumId w:val="2"/>
  </w:num>
  <w:num w:numId="4" w16cid:durableId="1701317403">
    <w:abstractNumId w:val="4"/>
  </w:num>
  <w:num w:numId="5" w16cid:durableId="1822621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zMLIwNjMwMzE1sbRU0lEKTi0uzszPAykwqwUAGszMDCwAAAA="/>
  </w:docVars>
  <w:rsids>
    <w:rsidRoot w:val="0059221E"/>
    <w:rsid w:val="00043FA4"/>
    <w:rsid w:val="00165514"/>
    <w:rsid w:val="00211CBF"/>
    <w:rsid w:val="002471A3"/>
    <w:rsid w:val="002977F6"/>
    <w:rsid w:val="002C434C"/>
    <w:rsid w:val="002D246D"/>
    <w:rsid w:val="002F6D52"/>
    <w:rsid w:val="0031472B"/>
    <w:rsid w:val="0040359B"/>
    <w:rsid w:val="00456C4B"/>
    <w:rsid w:val="004B561D"/>
    <w:rsid w:val="004B6CE0"/>
    <w:rsid w:val="004E6305"/>
    <w:rsid w:val="00514DE4"/>
    <w:rsid w:val="005336EB"/>
    <w:rsid w:val="0059221E"/>
    <w:rsid w:val="005C3865"/>
    <w:rsid w:val="00600E4B"/>
    <w:rsid w:val="00607C96"/>
    <w:rsid w:val="00636AAC"/>
    <w:rsid w:val="00654B66"/>
    <w:rsid w:val="00657E7E"/>
    <w:rsid w:val="00664D3E"/>
    <w:rsid w:val="00691E69"/>
    <w:rsid w:val="006D0FC5"/>
    <w:rsid w:val="006E3FE4"/>
    <w:rsid w:val="006E7009"/>
    <w:rsid w:val="0071581F"/>
    <w:rsid w:val="007343CC"/>
    <w:rsid w:val="007E009D"/>
    <w:rsid w:val="007E7FFB"/>
    <w:rsid w:val="00854290"/>
    <w:rsid w:val="00883E42"/>
    <w:rsid w:val="008C4FAA"/>
    <w:rsid w:val="008D2722"/>
    <w:rsid w:val="008D7B85"/>
    <w:rsid w:val="008E0048"/>
    <w:rsid w:val="00900B5C"/>
    <w:rsid w:val="009207EE"/>
    <w:rsid w:val="0094185F"/>
    <w:rsid w:val="009810A8"/>
    <w:rsid w:val="009A216A"/>
    <w:rsid w:val="009A46E9"/>
    <w:rsid w:val="009E4CBD"/>
    <w:rsid w:val="009F7B3C"/>
    <w:rsid w:val="00A1207B"/>
    <w:rsid w:val="00A13C06"/>
    <w:rsid w:val="00A215BF"/>
    <w:rsid w:val="00A35F4F"/>
    <w:rsid w:val="00A37E3F"/>
    <w:rsid w:val="00A542FD"/>
    <w:rsid w:val="00A56AD0"/>
    <w:rsid w:val="00A912A0"/>
    <w:rsid w:val="00AB1EE5"/>
    <w:rsid w:val="00AC30C3"/>
    <w:rsid w:val="00AD6956"/>
    <w:rsid w:val="00B13434"/>
    <w:rsid w:val="00B15BA9"/>
    <w:rsid w:val="00BC4031"/>
    <w:rsid w:val="00C424FF"/>
    <w:rsid w:val="00C5609A"/>
    <w:rsid w:val="00C745D1"/>
    <w:rsid w:val="00C750E4"/>
    <w:rsid w:val="00C82F6C"/>
    <w:rsid w:val="00CF11DE"/>
    <w:rsid w:val="00D0243C"/>
    <w:rsid w:val="00D518EE"/>
    <w:rsid w:val="00D80F38"/>
    <w:rsid w:val="00DA3256"/>
    <w:rsid w:val="00DB1EFE"/>
    <w:rsid w:val="00DC4EE5"/>
    <w:rsid w:val="00DF73A4"/>
    <w:rsid w:val="00E5585A"/>
    <w:rsid w:val="00E906F8"/>
    <w:rsid w:val="00E91E59"/>
    <w:rsid w:val="00F22481"/>
    <w:rsid w:val="00FC1EAC"/>
    <w:rsid w:val="00FD5598"/>
    <w:rsid w:val="00FD7F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71581F"/>
  </w:style>
  <w:style w:type="character" w:customStyle="1" w:styleId="AbstracttextChar">
    <w:name w:val="Abstract text Char"/>
    <w:link w:val="Abstracttext"/>
    <w:rsid w:val="0071581F"/>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character" w:styleId="Hyperlink">
    <w:name w:val="Hyperlink"/>
    <w:basedOn w:val="DefaultParagraphFont"/>
    <w:uiPriority w:val="99"/>
    <w:unhideWhenUsed/>
    <w:rsid w:val="005336EB"/>
    <w:rPr>
      <w:color w:val="0563C1" w:themeColor="hyperlink"/>
      <w:u w:val="single"/>
    </w:rPr>
  </w:style>
  <w:style w:type="character" w:styleId="UnresolvedMention">
    <w:name w:val="Unresolved Mention"/>
    <w:basedOn w:val="DefaultParagraphFont"/>
    <w:uiPriority w:val="99"/>
    <w:semiHidden/>
    <w:unhideWhenUsed/>
    <w:rsid w:val="005336EB"/>
    <w:rPr>
      <w:color w:val="605E5C"/>
      <w:shd w:val="clear" w:color="auto" w:fill="E1DFDD"/>
    </w:rPr>
  </w:style>
  <w:style w:type="paragraph" w:styleId="ListParagraph">
    <w:name w:val="List Paragraph"/>
    <w:basedOn w:val="Normal"/>
    <w:uiPriority w:val="34"/>
    <w:qFormat/>
    <w:rsid w:val="009E4CBD"/>
    <w:pPr>
      <w:ind w:left="720"/>
      <w:contextualSpacing/>
    </w:pPr>
  </w:style>
  <w:style w:type="paragraph" w:customStyle="1" w:styleId="MDPI41tablecaption">
    <w:name w:val="MDPI_4.1_table_caption"/>
    <w:qFormat/>
    <w:rsid w:val="00C82F6C"/>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39equation">
    <w:name w:val="MDPI_3.9_equation"/>
    <w:qFormat/>
    <w:rsid w:val="00900B5C"/>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szCs w:val="22"/>
      <w:lang w:eastAsia="de-DE" w:bidi="en-US"/>
    </w:rPr>
  </w:style>
  <w:style w:type="paragraph" w:customStyle="1" w:styleId="MDPI3aequationnumber">
    <w:name w:val="MDPI_3.a_equation_number"/>
    <w:qFormat/>
    <w:rsid w:val="00900B5C"/>
    <w:pPr>
      <w:spacing w:before="120" w:after="120"/>
      <w:jc w:val="right"/>
    </w:pPr>
    <w:rPr>
      <w:rFonts w:ascii="Palatino Linotype" w:eastAsia="Times New Roman" w:hAnsi="Palatino Linotype" w:cs="Times New Roman"/>
      <w:snapToGrid w:val="0"/>
      <w:color w:val="000000"/>
      <w:sz w:val="20"/>
      <w:szCs w:val="22"/>
      <w:lang w:eastAsia="de-DE" w:bidi="en-US"/>
    </w:rPr>
  </w:style>
  <w:style w:type="paragraph" w:styleId="Bibliography">
    <w:name w:val="Bibliography"/>
    <w:basedOn w:val="Normal"/>
    <w:next w:val="Normal"/>
    <w:uiPriority w:val="37"/>
    <w:unhideWhenUsed/>
    <w:rsid w:val="002C434C"/>
    <w:pPr>
      <w:tabs>
        <w:tab w:val="clear" w:pos="1134"/>
      </w:tabs>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845000">
      <w:bodyDiv w:val="1"/>
      <w:marLeft w:val="0"/>
      <w:marRight w:val="0"/>
      <w:marTop w:val="0"/>
      <w:marBottom w:val="0"/>
      <w:divBdr>
        <w:top w:val="none" w:sz="0" w:space="0" w:color="auto"/>
        <w:left w:val="none" w:sz="0" w:space="0" w:color="auto"/>
        <w:bottom w:val="none" w:sz="0" w:space="0" w:color="auto"/>
        <w:right w:val="none" w:sz="0" w:space="0" w:color="auto"/>
      </w:divBdr>
    </w:div>
    <w:div w:id="192676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hung@mail.ncku.edu.t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68117018@gs.ncku.edu.t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5170</Words>
  <Characters>29471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葛瑞迪 Gabriel Yedaya Immanuel Ryadi</cp:lastModifiedBy>
  <cp:revision>2</cp:revision>
  <cp:lastPrinted>2023-07-29T08:35:00Z</cp:lastPrinted>
  <dcterms:created xsi:type="dcterms:W3CDTF">2023-09-08T04:45:00Z</dcterms:created>
  <dcterms:modified xsi:type="dcterms:W3CDTF">2023-09-08T04:45:00Z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id="f1i92Hra"/&gt;&lt;style id="http://www.zotero.org/styles/apa" locale="en-US" hasBibliography="1" bibliographyStyleHasBeenSet="1"/&gt;&lt;prefs&gt;&lt;pref name="fieldType" value="Field"/&gt;&lt;/prefs&gt;&lt;/data&gt;</vt:lpwstr>
  </property>
</Properties>
</file>